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22" w:rsidRDefault="00001722">
      <w:pPr>
        <w:pStyle w:val="BodyText"/>
        <w:spacing w:before="8"/>
        <w:rPr>
          <w:rFonts w:ascii="Times New Roman"/>
          <w:sz w:val="20"/>
        </w:rPr>
      </w:pPr>
    </w:p>
    <w:p w:rsidR="00001722" w:rsidRDefault="00A92B78">
      <w:pPr>
        <w:pStyle w:val="BodyText"/>
        <w:ind w:left="3784"/>
        <w:rPr>
          <w:rFonts w:ascii="Times New Roman"/>
          <w:sz w:val="20"/>
        </w:rPr>
      </w:pPr>
      <w:r>
        <w:rPr>
          <w:rFonts w:ascii="Times New Roman"/>
          <w:noProof/>
          <w:sz w:val="20"/>
        </w:rPr>
        <w:drawing>
          <wp:inline distT="0" distB="0" distL="0" distR="0">
            <wp:extent cx="1270503" cy="11704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70503" cy="1170431"/>
                    </a:xfrm>
                    <a:prstGeom prst="rect">
                      <a:avLst/>
                    </a:prstGeom>
                  </pic:spPr>
                </pic:pic>
              </a:graphicData>
            </a:graphic>
          </wp:inline>
        </w:drawing>
      </w:r>
    </w:p>
    <w:p w:rsidR="00001722" w:rsidRDefault="00A92B78">
      <w:pPr>
        <w:spacing w:before="132"/>
        <w:ind w:left="1191"/>
        <w:rPr>
          <w:rFonts w:ascii="Verdana"/>
          <w:b/>
          <w:sz w:val="24"/>
        </w:rPr>
      </w:pPr>
      <w:r>
        <w:rPr>
          <w:rFonts w:ascii="Verdana"/>
          <w:b/>
          <w:sz w:val="24"/>
        </w:rPr>
        <w:t>Critical Elements for Hazardous Materials Compliance</w:t>
      </w:r>
    </w:p>
    <w:p w:rsidR="00001722" w:rsidRDefault="00001722">
      <w:pPr>
        <w:pStyle w:val="BodyText"/>
        <w:rPr>
          <w:rFonts w:ascii="Verdana"/>
          <w:b/>
          <w:sz w:val="28"/>
        </w:rPr>
      </w:pPr>
    </w:p>
    <w:p w:rsidR="00001722" w:rsidRDefault="00A92B78">
      <w:pPr>
        <w:pStyle w:val="BodyText"/>
        <w:spacing w:before="224"/>
        <w:ind w:left="119" w:right="171"/>
      </w:pPr>
      <w:r>
        <w:t>AU Faculty and Staff with responsibility for chemicals and other hazardous materials must ensure that they are stored and/or used in conformance with AU procedures and environmental regulatory requirements. The following addresses the most commonly identif</w:t>
      </w:r>
      <w:r>
        <w:t xml:space="preserve">ied compliance issues. Additional information and guidance is available on the RMS Environmental Management webpage at </w:t>
      </w:r>
      <w:hyperlink r:id="rId8">
        <w:r>
          <w:rPr>
            <w:color w:val="0000FF"/>
            <w:u w:val="single" w:color="0000FF"/>
          </w:rPr>
          <w:t>http://www.auburn.edu/administration/rms/environmental.htm</w:t>
        </w:r>
        <w:r>
          <w:rPr>
            <w:color w:val="0000FF"/>
            <w:u w:val="single" w:color="0000FF"/>
          </w:rPr>
          <w:t>l</w:t>
        </w:r>
        <w:r>
          <w:t>.</w:t>
        </w:r>
      </w:hyperlink>
    </w:p>
    <w:p w:rsidR="00001722" w:rsidRDefault="00001722">
      <w:pPr>
        <w:pStyle w:val="BodyText"/>
      </w:pPr>
    </w:p>
    <w:p w:rsidR="00001722" w:rsidRDefault="00A92B78">
      <w:pPr>
        <w:pStyle w:val="ListParagraph"/>
        <w:numPr>
          <w:ilvl w:val="0"/>
          <w:numId w:val="2"/>
        </w:numPr>
        <w:tabs>
          <w:tab w:val="left" w:pos="840"/>
        </w:tabs>
        <w:ind w:right="237"/>
      </w:pPr>
      <w:r>
        <w:t>Management of Chemical Waste – All chemical waste</w:t>
      </w:r>
      <w:r w:rsidR="004B28AA">
        <w:t xml:space="preserve"> containers</w:t>
      </w:r>
      <w:r>
        <w:t xml:space="preserve"> must be properly labeled with the </w:t>
      </w:r>
      <w:r w:rsidR="004B28AA">
        <w:t xml:space="preserve">words “HAZARDOUS WASTE”, the </w:t>
      </w:r>
      <w:r w:rsidR="004B28AA">
        <w:t>identity of the contents</w:t>
      </w:r>
      <w:r w:rsidR="004B28AA">
        <w:t xml:space="preserve"> and an indication of the hazards within. </w:t>
      </w:r>
      <w:r>
        <w:t>Waste containers must be clean, appropriately sealed to prevent release of contents, and place</w:t>
      </w:r>
      <w:r>
        <w:t>d in a designated waste accumulation area. In addition to typical chemical wastes the following are also potential hazardous wastes requiring appropriate</w:t>
      </w:r>
      <w:r>
        <w:rPr>
          <w:spacing w:val="-16"/>
        </w:rPr>
        <w:t xml:space="preserve"> </w:t>
      </w:r>
      <w:r>
        <w:t>management:</w:t>
      </w:r>
    </w:p>
    <w:p w:rsidR="00001722" w:rsidRDefault="00001722">
      <w:pPr>
        <w:pStyle w:val="BodyText"/>
      </w:pPr>
    </w:p>
    <w:p w:rsidR="00001722" w:rsidRDefault="00A92B78">
      <w:pPr>
        <w:pStyle w:val="ListParagraph"/>
        <w:numPr>
          <w:ilvl w:val="1"/>
          <w:numId w:val="2"/>
        </w:numPr>
        <w:tabs>
          <w:tab w:val="left" w:pos="1201"/>
        </w:tabs>
        <w:ind w:right="318" w:hanging="360"/>
      </w:pPr>
      <w:r>
        <w:t>Legacy Chemicals – Chemicals and chemical products which are abandoned, off- spec, outdat</w:t>
      </w:r>
      <w:r>
        <w:t>ed, or unwanted for any reason are inherently waste-like. The EPA would consider these to be solid wastes in which case the University is responsible for determining if they are hazardous wastes, and managing them</w:t>
      </w:r>
      <w:r>
        <w:rPr>
          <w:spacing w:val="-11"/>
        </w:rPr>
        <w:t xml:space="preserve"> </w:t>
      </w:r>
      <w:r>
        <w:t>appropriately.</w:t>
      </w:r>
    </w:p>
    <w:p w:rsidR="00001722" w:rsidRDefault="00001722">
      <w:pPr>
        <w:pStyle w:val="BodyText"/>
      </w:pPr>
    </w:p>
    <w:p w:rsidR="00001722" w:rsidRDefault="00A92B78">
      <w:pPr>
        <w:pStyle w:val="ListParagraph"/>
        <w:numPr>
          <w:ilvl w:val="1"/>
          <w:numId w:val="2"/>
        </w:numPr>
        <w:tabs>
          <w:tab w:val="left" w:pos="1201"/>
        </w:tabs>
        <w:ind w:left="1199" w:right="233" w:hanging="360"/>
      </w:pPr>
      <w:r>
        <w:t>Unlabeled/unknown chemical</w:t>
      </w:r>
      <w:r>
        <w:t xml:space="preserve">s – These materials include chemical residues and products in various </w:t>
      </w:r>
      <w:r>
        <w:lastRenderedPageBreak/>
        <w:t xml:space="preserve">containers including beakers and flasks. Materials in </w:t>
      </w:r>
      <w:r w:rsidR="004B28AA">
        <w:t>containers that are being used in an active process</w:t>
      </w:r>
      <w:r>
        <w:t xml:space="preserve"> are not included in this category. As with Legacy Chemicals, unknowns are consi</w:t>
      </w:r>
      <w:r>
        <w:t>dered inherently waste-like and must be managed</w:t>
      </w:r>
      <w:r>
        <w:rPr>
          <w:spacing w:val="-1"/>
        </w:rPr>
        <w:t xml:space="preserve"> </w:t>
      </w:r>
      <w:r>
        <w:t>appropriately.</w:t>
      </w:r>
    </w:p>
    <w:p w:rsidR="00001722" w:rsidRDefault="00001722">
      <w:pPr>
        <w:pStyle w:val="BodyText"/>
      </w:pPr>
    </w:p>
    <w:p w:rsidR="00001722" w:rsidRDefault="00A92B78">
      <w:pPr>
        <w:pStyle w:val="ListParagraph"/>
        <w:numPr>
          <w:ilvl w:val="1"/>
          <w:numId w:val="2"/>
        </w:numPr>
        <w:tabs>
          <w:tab w:val="left" w:pos="1200"/>
        </w:tabs>
        <w:ind w:left="1199" w:right="161" w:hanging="360"/>
      </w:pPr>
      <w:r>
        <w:t>Waste Aerosol Cans – Spray cans containing product under pressure are hazardous material</w:t>
      </w:r>
      <w:r w:rsidR="004B28AA">
        <w:t>s</w:t>
      </w:r>
      <w:r>
        <w:t xml:space="preserve"> unless they are completely empty. If an aerosol can becomes unusable so that the product can not be rem</w:t>
      </w:r>
      <w:r>
        <w:t>oved by normal means or if the product is outdated, off spec or otherwise unusable/unwanted, the can should be disposed of through</w:t>
      </w:r>
      <w:r>
        <w:rPr>
          <w:spacing w:val="-23"/>
        </w:rPr>
        <w:t xml:space="preserve"> </w:t>
      </w:r>
      <w:r>
        <w:t>the RMS Waste Management program as a chemical</w:t>
      </w:r>
      <w:r>
        <w:rPr>
          <w:spacing w:val="-1"/>
        </w:rPr>
        <w:t xml:space="preserve"> </w:t>
      </w:r>
      <w:r>
        <w:t>waste.</w:t>
      </w:r>
    </w:p>
    <w:p w:rsidR="00001722" w:rsidRDefault="00001722">
      <w:pPr>
        <w:pStyle w:val="BodyText"/>
      </w:pPr>
    </w:p>
    <w:p w:rsidR="00001722" w:rsidRDefault="00A92B78">
      <w:pPr>
        <w:pStyle w:val="ListParagraph"/>
        <w:numPr>
          <w:ilvl w:val="0"/>
          <w:numId w:val="2"/>
        </w:numPr>
        <w:tabs>
          <w:tab w:val="left" w:pos="841"/>
        </w:tabs>
        <w:ind w:left="839" w:right="178" w:hanging="360"/>
      </w:pPr>
      <w:r>
        <w:t>Management of process waste containers – these include waste container</w:t>
      </w:r>
      <w:r>
        <w:t xml:space="preserve">s associated with X-ray and photographic film developers, high-performance liquid chromatography </w:t>
      </w:r>
      <w:r>
        <w:rPr>
          <w:sz w:val="24"/>
        </w:rPr>
        <w:t>(</w:t>
      </w:r>
      <w:r>
        <w:t xml:space="preserve">HPLC) and atomic absorption equipment as well as any other equipment which discharge waste to a collection container. Containers used to collect these wastes </w:t>
      </w:r>
      <w:r>
        <w:t>must be labeled as described for chemical waste above. When the process is not in operation, the containers must be closed and placed in a designated waste accumulation</w:t>
      </w:r>
      <w:r>
        <w:rPr>
          <w:spacing w:val="-1"/>
        </w:rPr>
        <w:t xml:space="preserve"> </w:t>
      </w:r>
      <w:r>
        <w:t>area.</w:t>
      </w:r>
    </w:p>
    <w:p w:rsidR="00001722" w:rsidRDefault="00001722">
      <w:pPr>
        <w:sectPr w:rsidR="00001722">
          <w:headerReference w:type="default" r:id="rId9"/>
          <w:footerReference w:type="default" r:id="rId10"/>
          <w:type w:val="continuous"/>
          <w:pgSz w:w="12240" w:h="15840"/>
          <w:pgMar w:top="1340" w:right="1340" w:bottom="1400" w:left="1320" w:header="727" w:footer="1205" w:gutter="0"/>
          <w:cols w:space="720"/>
        </w:sectPr>
      </w:pPr>
    </w:p>
    <w:p w:rsidR="00001722" w:rsidRDefault="00A92B78">
      <w:pPr>
        <w:pStyle w:val="ListParagraph"/>
        <w:numPr>
          <w:ilvl w:val="0"/>
          <w:numId w:val="2"/>
        </w:numPr>
        <w:tabs>
          <w:tab w:val="left" w:pos="840"/>
        </w:tabs>
        <w:spacing w:before="82"/>
        <w:ind w:right="239"/>
      </w:pPr>
      <w:r>
        <w:lastRenderedPageBreak/>
        <w:t>Management of used oil – containers of used oil must be labeled with the words</w:t>
      </w:r>
      <w:r>
        <w:rPr>
          <w:spacing w:val="-17"/>
        </w:rPr>
        <w:t xml:space="preserve"> </w:t>
      </w:r>
      <w:r>
        <w:t>“USED OIL”, in good condition, and closed at all times when not adding</w:t>
      </w:r>
      <w:r>
        <w:rPr>
          <w:spacing w:val="-7"/>
        </w:rPr>
        <w:t xml:space="preserve"> </w:t>
      </w:r>
      <w:r>
        <w:t>waste.</w:t>
      </w:r>
    </w:p>
    <w:p w:rsidR="00001722" w:rsidRDefault="00001722">
      <w:pPr>
        <w:pStyle w:val="BodyText"/>
        <w:spacing w:before="10"/>
        <w:rPr>
          <w:sz w:val="21"/>
        </w:rPr>
      </w:pPr>
    </w:p>
    <w:p w:rsidR="00001722" w:rsidRDefault="00A92B78">
      <w:pPr>
        <w:pStyle w:val="ListParagraph"/>
        <w:numPr>
          <w:ilvl w:val="0"/>
          <w:numId w:val="2"/>
        </w:numPr>
        <w:tabs>
          <w:tab w:val="left" w:pos="841"/>
        </w:tabs>
        <w:ind w:right="316"/>
      </w:pPr>
      <w:r>
        <w:t>Universal Waste Management – these include b</w:t>
      </w:r>
      <w:r>
        <w:rPr>
          <w:rFonts w:ascii="Times New Roman" w:hAnsi="Times New Roman"/>
          <w:sz w:val="24"/>
        </w:rPr>
        <w:t>atteries, mercury containing lamps</w:t>
      </w:r>
      <w:r>
        <w:rPr>
          <w:rFonts w:ascii="Times New Roman" w:hAnsi="Times New Roman"/>
          <w:spacing w:val="-15"/>
          <w:sz w:val="24"/>
        </w:rPr>
        <w:t xml:space="preserve"> </w:t>
      </w:r>
      <w:r>
        <w:rPr>
          <w:rFonts w:ascii="Times New Roman" w:hAnsi="Times New Roman"/>
          <w:sz w:val="24"/>
        </w:rPr>
        <w:t xml:space="preserve">(i.e. fluorescent, metal halide), mercury containing equipment and </w:t>
      </w:r>
      <w:r w:rsidR="004B28AA">
        <w:rPr>
          <w:rFonts w:ascii="Times New Roman" w:hAnsi="Times New Roman"/>
          <w:sz w:val="24"/>
        </w:rPr>
        <w:t xml:space="preserve">certain </w:t>
      </w:r>
      <w:r>
        <w:rPr>
          <w:rFonts w:ascii="Times New Roman" w:hAnsi="Times New Roman"/>
          <w:sz w:val="24"/>
        </w:rPr>
        <w:t>pesticides</w:t>
      </w:r>
      <w:r>
        <w:t>. Universal wastes are a special class of hazardous wastes which require proper</w:t>
      </w:r>
      <w:r>
        <w:rPr>
          <w:spacing w:val="-15"/>
        </w:rPr>
        <w:t xml:space="preserve"> </w:t>
      </w:r>
      <w:r>
        <w:t>management.</w:t>
      </w:r>
    </w:p>
    <w:p w:rsidR="00001722" w:rsidRDefault="00001722">
      <w:pPr>
        <w:pStyle w:val="BodyText"/>
        <w:spacing w:before="1"/>
      </w:pPr>
    </w:p>
    <w:p w:rsidR="00001722" w:rsidRDefault="00A92B78">
      <w:pPr>
        <w:pStyle w:val="ListParagraph"/>
        <w:numPr>
          <w:ilvl w:val="0"/>
          <w:numId w:val="2"/>
        </w:numPr>
        <w:tabs>
          <w:tab w:val="left" w:pos="840"/>
        </w:tabs>
        <w:spacing w:before="1"/>
        <w:ind w:right="312"/>
        <w:jc w:val="both"/>
      </w:pPr>
      <w:r>
        <w:t>Biomedical Waste Management – Alabama law requires that biomedical waste be kept in se</w:t>
      </w:r>
      <w:r>
        <w:t>aled red containers identified with the biohazard symbol. In addition, sharps must be placed in a puncture resistant container (sharps</w:t>
      </w:r>
      <w:r>
        <w:rPr>
          <w:spacing w:val="-6"/>
        </w:rPr>
        <w:t xml:space="preserve"> </w:t>
      </w:r>
      <w:r>
        <w:t>container).</w:t>
      </w:r>
    </w:p>
    <w:p w:rsidR="00001722" w:rsidRDefault="00001722">
      <w:pPr>
        <w:pStyle w:val="BodyText"/>
        <w:spacing w:before="11"/>
        <w:rPr>
          <w:sz w:val="21"/>
        </w:rPr>
      </w:pPr>
    </w:p>
    <w:p w:rsidR="00001722" w:rsidRDefault="00A92B78">
      <w:pPr>
        <w:pStyle w:val="ListParagraph"/>
        <w:numPr>
          <w:ilvl w:val="0"/>
          <w:numId w:val="2"/>
        </w:numPr>
        <w:tabs>
          <w:tab w:val="left" w:pos="840"/>
        </w:tabs>
        <w:ind w:left="839" w:hanging="360"/>
      </w:pPr>
      <w:r>
        <w:t>Chemical Storage – EPA regulations require that chemicals and chemical products be stored safely to minimize</w:t>
      </w:r>
      <w:r>
        <w:t xml:space="preserve"> the risk of a release or damage to the environment. All chemical containers, including secondary containers, must be clearly labeled to identify the contents, be in sound physical condition and kept securely sealed.  Chemicals should be stored in cabinets</w:t>
      </w:r>
      <w:r>
        <w:t xml:space="preserve"> or on shelves, not on the floor or in walkways. Incompatible materials should always be physically separated during</w:t>
      </w:r>
      <w:r>
        <w:rPr>
          <w:spacing w:val="-3"/>
        </w:rPr>
        <w:t xml:space="preserve"> </w:t>
      </w:r>
      <w:r>
        <w:t>storage.</w:t>
      </w:r>
    </w:p>
    <w:p w:rsidR="00001722" w:rsidRDefault="00001722">
      <w:pPr>
        <w:pStyle w:val="BodyText"/>
      </w:pPr>
    </w:p>
    <w:p w:rsidR="00001722" w:rsidRDefault="00A92B78">
      <w:pPr>
        <w:pStyle w:val="BodyText"/>
        <w:ind w:left="119" w:right="513"/>
      </w:pPr>
      <w:r>
        <w:t>In addition, please use the attached forms to notify RMS if any of the following operations or activities is performed in your ar</w:t>
      </w:r>
      <w:r>
        <w:t>ea:</w:t>
      </w:r>
    </w:p>
    <w:p w:rsidR="00001722" w:rsidRDefault="00001722">
      <w:pPr>
        <w:pStyle w:val="BodyText"/>
        <w:spacing w:before="11"/>
        <w:rPr>
          <w:sz w:val="21"/>
        </w:rPr>
      </w:pPr>
    </w:p>
    <w:p w:rsidR="00001722" w:rsidRDefault="00A92B78">
      <w:pPr>
        <w:pStyle w:val="ListParagraph"/>
        <w:numPr>
          <w:ilvl w:val="0"/>
          <w:numId w:val="1"/>
        </w:numPr>
        <w:tabs>
          <w:tab w:val="left" w:pos="840"/>
        </w:tabs>
        <w:ind w:right="313" w:hanging="360"/>
      </w:pPr>
      <w:r>
        <w:t>Operations which discharge process wastes to drain or sink. These include photographic developing, acid/base neutralization tanks, oil/water separators, quench tanks, contact cooling water, etc. RMS will assist the operators with ensuring that their w</w:t>
      </w:r>
      <w:r>
        <w:t>astes are properly managed (use Process ID</w:t>
      </w:r>
      <w:r>
        <w:rPr>
          <w:spacing w:val="-4"/>
        </w:rPr>
        <w:t xml:space="preserve"> </w:t>
      </w:r>
      <w:r>
        <w:t>Form).</w:t>
      </w:r>
    </w:p>
    <w:p w:rsidR="00001722" w:rsidRDefault="00001722">
      <w:pPr>
        <w:pStyle w:val="BodyText"/>
        <w:spacing w:before="1"/>
      </w:pPr>
    </w:p>
    <w:p w:rsidR="00001722" w:rsidRDefault="00A92B78">
      <w:pPr>
        <w:pStyle w:val="ListParagraph"/>
        <w:numPr>
          <w:ilvl w:val="0"/>
          <w:numId w:val="1"/>
        </w:numPr>
        <w:tabs>
          <w:tab w:val="left" w:pos="840"/>
        </w:tabs>
        <w:ind w:right="288" w:hanging="360"/>
        <w:jc w:val="both"/>
      </w:pPr>
      <w:r>
        <w:t xml:space="preserve">Operations which generate fine particulate waste. These include 3D printing, </w:t>
      </w:r>
      <w:r>
        <w:t xml:space="preserve">cutting, grinding and polishing operations such as additive manufacturing, </w:t>
      </w:r>
      <w:bookmarkStart w:id="0" w:name="_GoBack"/>
      <w:bookmarkEnd w:id="0"/>
      <w:r>
        <w:t xml:space="preserve">machining metal, or processing geological specimens as well as sediment traps associated </w:t>
      </w:r>
      <w:r>
        <w:lastRenderedPageBreak/>
        <w:t>w</w:t>
      </w:r>
      <w:r>
        <w:t>ith ceramics. Depending upon the types of metals or minerals handled, waste from these processes could be hazardous waste. RMS will assist operators with ensuring that their wastes are properly managed (use Process ID Form).</w:t>
      </w:r>
    </w:p>
    <w:p w:rsidR="00001722" w:rsidRDefault="00001722">
      <w:pPr>
        <w:pStyle w:val="BodyText"/>
        <w:spacing w:before="11"/>
        <w:rPr>
          <w:sz w:val="21"/>
        </w:rPr>
      </w:pPr>
    </w:p>
    <w:p w:rsidR="00001722" w:rsidRDefault="00A92B78">
      <w:pPr>
        <w:pStyle w:val="ListParagraph"/>
        <w:numPr>
          <w:ilvl w:val="0"/>
          <w:numId w:val="1"/>
        </w:numPr>
        <w:tabs>
          <w:tab w:val="left" w:pos="840"/>
        </w:tabs>
        <w:ind w:right="264" w:hanging="360"/>
      </w:pPr>
      <w:r>
        <w:t>Bulk oil, grease and petroleum</w:t>
      </w:r>
      <w:r>
        <w:t xml:space="preserve"> product storage - Storage of these materials, in containers 50 gallons or larger, must be in accordance with the AU Spill Prevention Control and Countermeasure (SPCC) plan. RMS will provide compliance assistance to the operators (use Bulk Storage ID</w:t>
      </w:r>
      <w:r>
        <w:rPr>
          <w:spacing w:val="-2"/>
        </w:rPr>
        <w:t xml:space="preserve"> </w:t>
      </w:r>
      <w:r>
        <w:t>Form)</w:t>
      </w:r>
      <w:r>
        <w:t>.</w:t>
      </w:r>
    </w:p>
    <w:p w:rsidR="00001722" w:rsidRDefault="00001722">
      <w:pPr>
        <w:pStyle w:val="BodyText"/>
        <w:spacing w:before="1"/>
      </w:pPr>
    </w:p>
    <w:p w:rsidR="00001722" w:rsidRDefault="00A92B78">
      <w:pPr>
        <w:ind w:left="119" w:right="452"/>
        <w:rPr>
          <w:i/>
        </w:rPr>
      </w:pPr>
      <w:r>
        <w:rPr>
          <w:i/>
        </w:rPr>
        <w:t>Note that depending upon the type of activity performed and materials handled there may be additional regulatory requirements including documentation and recordkeeping.</w:t>
      </w:r>
    </w:p>
    <w:p w:rsidR="00001722" w:rsidRDefault="00001722">
      <w:pPr>
        <w:sectPr w:rsidR="00001722">
          <w:pgSz w:w="12240" w:h="15840"/>
          <w:pgMar w:top="1340" w:right="1340" w:bottom="1400" w:left="1320" w:header="727" w:footer="1205" w:gutter="0"/>
          <w:cols w:space="720"/>
        </w:sectPr>
      </w:pPr>
    </w:p>
    <w:p w:rsidR="00001722" w:rsidRDefault="00001722">
      <w:pPr>
        <w:pStyle w:val="BodyText"/>
        <w:spacing w:before="3"/>
        <w:rPr>
          <w:i/>
          <w:sz w:val="21"/>
        </w:rPr>
      </w:pPr>
    </w:p>
    <w:p w:rsidR="00001722" w:rsidRDefault="00A92B78">
      <w:pPr>
        <w:pStyle w:val="Heading1"/>
        <w:spacing w:before="90"/>
        <w:ind w:left="232"/>
      </w:pPr>
      <w:r>
        <w:t xml:space="preserve">Please identify each process which: (1) discharges liquid waste to a sink, drain or the environment including those discharging through a treatment system such as silver recovery units, etc.; (2) generates a solid particulate waste such as 3D metal additive manufacturing, </w:t>
      </w:r>
      <w:r>
        <w:t>metal fabricatio</w:t>
      </w:r>
      <w:r>
        <w:t>n and machining, or mineral processing including wastes contained by an in-line sediment trap,</w:t>
      </w:r>
    </w:p>
    <w:p w:rsidR="00001722" w:rsidRDefault="00001722">
      <w:pPr>
        <w:pStyle w:val="BodyText"/>
        <w:rPr>
          <w:rFonts w:ascii="Times New Roman"/>
          <w:sz w:val="20"/>
        </w:rPr>
      </w:pPr>
    </w:p>
    <w:p w:rsidR="00001722" w:rsidRDefault="00001722">
      <w:pPr>
        <w:pStyle w:val="BodyText"/>
        <w:spacing w:before="11"/>
        <w:rPr>
          <w:rFonts w:ascii="Times New Roman"/>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4"/>
        <w:gridCol w:w="2214"/>
        <w:gridCol w:w="2214"/>
        <w:gridCol w:w="6606"/>
      </w:tblGrid>
      <w:tr w:rsidR="00001722">
        <w:trPr>
          <w:trHeight w:val="551"/>
        </w:trPr>
        <w:tc>
          <w:tcPr>
            <w:tcW w:w="2214" w:type="dxa"/>
          </w:tcPr>
          <w:p w:rsidR="00001722" w:rsidRDefault="00A92B78">
            <w:pPr>
              <w:pStyle w:val="TableParagraph"/>
              <w:spacing w:line="273" w:lineRule="exact"/>
              <w:ind w:left="107"/>
              <w:rPr>
                <w:sz w:val="24"/>
              </w:rPr>
            </w:pPr>
            <w:r>
              <w:rPr>
                <w:sz w:val="24"/>
              </w:rPr>
              <w:t>Department</w:t>
            </w:r>
          </w:p>
        </w:tc>
        <w:tc>
          <w:tcPr>
            <w:tcW w:w="2214" w:type="dxa"/>
          </w:tcPr>
          <w:p w:rsidR="00001722" w:rsidRDefault="00A92B78">
            <w:pPr>
              <w:pStyle w:val="TableParagraph"/>
              <w:spacing w:line="273" w:lineRule="exact"/>
              <w:ind w:left="107"/>
              <w:rPr>
                <w:sz w:val="24"/>
              </w:rPr>
            </w:pPr>
            <w:r>
              <w:rPr>
                <w:sz w:val="24"/>
              </w:rPr>
              <w:t>Operator</w:t>
            </w:r>
          </w:p>
          <w:p w:rsidR="00001722" w:rsidRDefault="00A92B78">
            <w:pPr>
              <w:pStyle w:val="TableParagraph"/>
              <w:spacing w:line="259" w:lineRule="exact"/>
              <w:ind w:left="107"/>
              <w:rPr>
                <w:sz w:val="24"/>
              </w:rPr>
            </w:pPr>
            <w:r>
              <w:rPr>
                <w:sz w:val="24"/>
              </w:rPr>
              <w:t>(name/phone)</w:t>
            </w:r>
          </w:p>
        </w:tc>
        <w:tc>
          <w:tcPr>
            <w:tcW w:w="2214" w:type="dxa"/>
          </w:tcPr>
          <w:p w:rsidR="00001722" w:rsidRDefault="00A92B78">
            <w:pPr>
              <w:pStyle w:val="TableParagraph"/>
              <w:spacing w:line="273" w:lineRule="exact"/>
              <w:ind w:left="107"/>
              <w:rPr>
                <w:sz w:val="24"/>
              </w:rPr>
            </w:pPr>
            <w:r>
              <w:rPr>
                <w:sz w:val="24"/>
              </w:rPr>
              <w:t>Location</w:t>
            </w:r>
          </w:p>
          <w:p w:rsidR="00001722" w:rsidRDefault="00A92B78">
            <w:pPr>
              <w:pStyle w:val="TableParagraph"/>
              <w:spacing w:line="259" w:lineRule="exact"/>
              <w:ind w:left="107"/>
              <w:rPr>
                <w:sz w:val="24"/>
              </w:rPr>
            </w:pPr>
            <w:r>
              <w:rPr>
                <w:sz w:val="24"/>
              </w:rPr>
              <w:t>(building/room)</w:t>
            </w:r>
          </w:p>
        </w:tc>
        <w:tc>
          <w:tcPr>
            <w:tcW w:w="6606" w:type="dxa"/>
          </w:tcPr>
          <w:p w:rsidR="00001722" w:rsidRDefault="00A92B78">
            <w:pPr>
              <w:pStyle w:val="TableParagraph"/>
              <w:spacing w:line="273" w:lineRule="exact"/>
              <w:ind w:left="107"/>
              <w:rPr>
                <w:sz w:val="24"/>
              </w:rPr>
            </w:pPr>
            <w:r>
              <w:rPr>
                <w:sz w:val="24"/>
              </w:rPr>
              <w:t>Process Description</w:t>
            </w:r>
          </w:p>
        </w:tc>
      </w:tr>
      <w:tr w:rsidR="00001722">
        <w:trPr>
          <w:trHeight w:val="276"/>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5"/>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5"/>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6"/>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5"/>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5"/>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5"/>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6"/>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5"/>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5"/>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r w:rsidR="00001722">
        <w:trPr>
          <w:trHeight w:val="276"/>
        </w:trPr>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2214" w:type="dxa"/>
          </w:tcPr>
          <w:p w:rsidR="00001722" w:rsidRDefault="00001722">
            <w:pPr>
              <w:pStyle w:val="TableParagraph"/>
              <w:rPr>
                <w:sz w:val="20"/>
              </w:rPr>
            </w:pPr>
          </w:p>
        </w:tc>
        <w:tc>
          <w:tcPr>
            <w:tcW w:w="6606" w:type="dxa"/>
          </w:tcPr>
          <w:p w:rsidR="00001722" w:rsidRDefault="00001722">
            <w:pPr>
              <w:pStyle w:val="TableParagraph"/>
              <w:rPr>
                <w:sz w:val="20"/>
              </w:rPr>
            </w:pPr>
          </w:p>
        </w:tc>
      </w:tr>
    </w:tbl>
    <w:p w:rsidR="00001722" w:rsidRDefault="00001722">
      <w:pPr>
        <w:pStyle w:val="BodyText"/>
        <w:rPr>
          <w:rFonts w:ascii="Times New Roman"/>
          <w:sz w:val="26"/>
        </w:rPr>
      </w:pPr>
    </w:p>
    <w:p w:rsidR="00001722" w:rsidRDefault="00A92B78">
      <w:pPr>
        <w:pStyle w:val="BodyText"/>
        <w:spacing w:before="205"/>
        <w:ind w:left="232"/>
      </w:pPr>
      <w:r>
        <w:t>Return completed form to:</w:t>
      </w:r>
    </w:p>
    <w:p w:rsidR="00001722" w:rsidRDefault="00001722">
      <w:pPr>
        <w:pStyle w:val="BodyText"/>
        <w:spacing w:before="10"/>
        <w:rPr>
          <w:sz w:val="21"/>
        </w:rPr>
      </w:pPr>
    </w:p>
    <w:p w:rsidR="00001722" w:rsidRDefault="00A92B78">
      <w:pPr>
        <w:pStyle w:val="BodyText"/>
        <w:ind w:left="232" w:right="9355"/>
      </w:pPr>
      <w:r>
        <w:t>RMS Hazardous Materials M</w:t>
      </w:r>
      <w:r>
        <w:lastRenderedPageBreak/>
        <w:t xml:space="preserve">anagement </w:t>
      </w:r>
      <w:r w:rsidR="004B28AA">
        <w:t>1161 W. Samford Avenue, Building 9</w:t>
      </w:r>
    </w:p>
    <w:p w:rsidR="00001722" w:rsidRDefault="00A92B78">
      <w:pPr>
        <w:pStyle w:val="BodyText"/>
        <w:spacing w:before="1"/>
        <w:ind w:left="232"/>
      </w:pPr>
      <w:r>
        <w:t>Fax: 334-844-4197</w:t>
      </w:r>
    </w:p>
    <w:p w:rsidR="00001722" w:rsidRDefault="00A92B78">
      <w:pPr>
        <w:pStyle w:val="BodyText"/>
        <w:ind w:left="232"/>
      </w:pPr>
      <w:r>
        <w:t xml:space="preserve">e-mail: </w:t>
      </w:r>
      <w:hyperlink r:id="rId11" w:history="1">
        <w:r w:rsidR="004B28AA" w:rsidRPr="00672712">
          <w:rPr>
            <w:rStyle w:val="Hyperlink"/>
          </w:rPr>
          <w:t>hodgetf@auburn.edu</w:t>
        </w:r>
      </w:hyperlink>
    </w:p>
    <w:p w:rsidR="00001722" w:rsidRDefault="00001722">
      <w:pPr>
        <w:sectPr w:rsidR="00001722">
          <w:headerReference w:type="default" r:id="rId12"/>
          <w:footerReference w:type="default" r:id="rId13"/>
          <w:pgSz w:w="15840" w:h="12240" w:orient="landscape"/>
          <w:pgMar w:top="2040" w:right="1400" w:bottom="280" w:left="920" w:header="1689" w:footer="0" w:gutter="0"/>
          <w:cols w:space="720"/>
        </w:sectPr>
      </w:pPr>
    </w:p>
    <w:p w:rsidR="00001722" w:rsidRDefault="00001722">
      <w:pPr>
        <w:pStyle w:val="BodyText"/>
        <w:spacing w:before="2"/>
        <w:rPr>
          <w:sz w:val="19"/>
        </w:rPr>
      </w:pPr>
    </w:p>
    <w:p w:rsidR="00001722" w:rsidRDefault="00A92B78">
      <w:pPr>
        <w:pStyle w:val="Heading1"/>
        <w:spacing w:before="90"/>
        <w:ind w:left="232"/>
      </w:pPr>
      <w:r>
        <w:t>Please use the following table to identify bulk (50 gallon or larger) containers and tanks used to store grease, oil or petroleum products.</w:t>
      </w:r>
    </w:p>
    <w:p w:rsidR="00001722" w:rsidRDefault="00001722">
      <w:pPr>
        <w:pStyle w:val="BodyText"/>
        <w:rPr>
          <w:rFonts w:ascii="Times New Roman"/>
          <w:sz w:val="20"/>
        </w:rPr>
      </w:pPr>
    </w:p>
    <w:p w:rsidR="00001722" w:rsidRDefault="00001722">
      <w:pPr>
        <w:pStyle w:val="BodyText"/>
        <w:spacing w:before="1"/>
        <w:rPr>
          <w:rFonts w:ascii="Times New Roman"/>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1980"/>
        <w:gridCol w:w="2257"/>
        <w:gridCol w:w="1163"/>
        <w:gridCol w:w="1260"/>
        <w:gridCol w:w="3960"/>
      </w:tblGrid>
      <w:tr w:rsidR="00001722">
        <w:trPr>
          <w:trHeight w:val="551"/>
        </w:trPr>
        <w:tc>
          <w:tcPr>
            <w:tcW w:w="2628" w:type="dxa"/>
          </w:tcPr>
          <w:p w:rsidR="00001722" w:rsidRDefault="00A92B78">
            <w:pPr>
              <w:pStyle w:val="TableParagraph"/>
              <w:spacing w:line="273" w:lineRule="exact"/>
              <w:ind w:left="107"/>
              <w:rPr>
                <w:sz w:val="24"/>
              </w:rPr>
            </w:pPr>
            <w:r>
              <w:rPr>
                <w:sz w:val="24"/>
              </w:rPr>
              <w:t>Department</w:t>
            </w:r>
          </w:p>
        </w:tc>
        <w:tc>
          <w:tcPr>
            <w:tcW w:w="1980" w:type="dxa"/>
          </w:tcPr>
          <w:p w:rsidR="00001722" w:rsidRDefault="00A92B78">
            <w:pPr>
              <w:pStyle w:val="TableParagraph"/>
              <w:spacing w:line="273" w:lineRule="exact"/>
              <w:ind w:left="107"/>
              <w:rPr>
                <w:sz w:val="24"/>
              </w:rPr>
            </w:pPr>
            <w:r>
              <w:rPr>
                <w:sz w:val="24"/>
              </w:rPr>
              <w:t>Operator</w:t>
            </w:r>
          </w:p>
          <w:p w:rsidR="00001722" w:rsidRDefault="00A92B78">
            <w:pPr>
              <w:pStyle w:val="TableParagraph"/>
              <w:spacing w:line="259" w:lineRule="exact"/>
              <w:ind w:left="107"/>
              <w:rPr>
                <w:sz w:val="24"/>
              </w:rPr>
            </w:pPr>
            <w:r>
              <w:rPr>
                <w:sz w:val="24"/>
              </w:rPr>
              <w:t>(name/phone)</w:t>
            </w:r>
          </w:p>
        </w:tc>
        <w:tc>
          <w:tcPr>
            <w:tcW w:w="2257" w:type="dxa"/>
          </w:tcPr>
          <w:p w:rsidR="00001722" w:rsidRDefault="00A92B78">
            <w:pPr>
              <w:pStyle w:val="TableParagraph"/>
              <w:spacing w:line="273" w:lineRule="exact"/>
              <w:ind w:left="107"/>
              <w:rPr>
                <w:sz w:val="24"/>
              </w:rPr>
            </w:pPr>
            <w:r>
              <w:rPr>
                <w:sz w:val="24"/>
              </w:rPr>
              <w:t>Location</w:t>
            </w:r>
          </w:p>
          <w:p w:rsidR="00001722" w:rsidRDefault="00A92B78">
            <w:pPr>
              <w:pStyle w:val="TableParagraph"/>
              <w:spacing w:line="259" w:lineRule="exact"/>
              <w:ind w:left="107"/>
              <w:rPr>
                <w:sz w:val="24"/>
              </w:rPr>
            </w:pPr>
            <w:r>
              <w:rPr>
                <w:sz w:val="24"/>
              </w:rPr>
              <w:t>(building/room)</w:t>
            </w:r>
          </w:p>
        </w:tc>
        <w:tc>
          <w:tcPr>
            <w:tcW w:w="1163" w:type="dxa"/>
          </w:tcPr>
          <w:p w:rsidR="00001722" w:rsidRDefault="00A92B78">
            <w:pPr>
              <w:pStyle w:val="TableParagraph"/>
              <w:spacing w:line="273" w:lineRule="exact"/>
              <w:ind w:left="107"/>
              <w:rPr>
                <w:sz w:val="24"/>
              </w:rPr>
            </w:pPr>
            <w:r>
              <w:rPr>
                <w:sz w:val="24"/>
              </w:rPr>
              <w:t>Container</w:t>
            </w:r>
          </w:p>
          <w:p w:rsidR="00001722" w:rsidRDefault="00A92B78">
            <w:pPr>
              <w:pStyle w:val="TableParagraph"/>
              <w:spacing w:line="259" w:lineRule="exact"/>
              <w:ind w:left="107"/>
              <w:rPr>
                <w:sz w:val="24"/>
              </w:rPr>
            </w:pPr>
            <w:r>
              <w:rPr>
                <w:sz w:val="24"/>
              </w:rPr>
              <w:t>size</w:t>
            </w:r>
          </w:p>
        </w:tc>
        <w:tc>
          <w:tcPr>
            <w:tcW w:w="1260" w:type="dxa"/>
          </w:tcPr>
          <w:p w:rsidR="00001722" w:rsidRDefault="00A92B78">
            <w:pPr>
              <w:pStyle w:val="TableParagraph"/>
              <w:spacing w:line="273" w:lineRule="exact"/>
              <w:ind w:left="107"/>
              <w:rPr>
                <w:sz w:val="24"/>
              </w:rPr>
            </w:pPr>
            <w:r>
              <w:rPr>
                <w:sz w:val="24"/>
              </w:rPr>
              <w:t># of</w:t>
            </w:r>
          </w:p>
          <w:p w:rsidR="00001722" w:rsidRDefault="00A92B78">
            <w:pPr>
              <w:pStyle w:val="TableParagraph"/>
              <w:spacing w:line="259" w:lineRule="exact"/>
              <w:ind w:left="107"/>
              <w:rPr>
                <w:sz w:val="24"/>
              </w:rPr>
            </w:pPr>
            <w:r>
              <w:rPr>
                <w:sz w:val="24"/>
              </w:rPr>
              <w:t>Containers</w:t>
            </w:r>
          </w:p>
        </w:tc>
        <w:tc>
          <w:tcPr>
            <w:tcW w:w="3960" w:type="dxa"/>
          </w:tcPr>
          <w:p w:rsidR="00001722" w:rsidRDefault="00A92B78">
            <w:pPr>
              <w:pStyle w:val="TableParagraph"/>
              <w:spacing w:line="273" w:lineRule="exact"/>
              <w:ind w:left="107"/>
              <w:rPr>
                <w:sz w:val="24"/>
              </w:rPr>
            </w:pPr>
            <w:r>
              <w:rPr>
                <w:sz w:val="24"/>
              </w:rPr>
              <w:t>Product Stored</w:t>
            </w:r>
          </w:p>
        </w:tc>
      </w:tr>
      <w:tr w:rsidR="00001722">
        <w:trPr>
          <w:trHeight w:val="276"/>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5"/>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5"/>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6"/>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5"/>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5"/>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5"/>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6"/>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5"/>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5"/>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r w:rsidR="00001722">
        <w:trPr>
          <w:trHeight w:val="276"/>
        </w:trPr>
        <w:tc>
          <w:tcPr>
            <w:tcW w:w="2628" w:type="dxa"/>
          </w:tcPr>
          <w:p w:rsidR="00001722" w:rsidRDefault="00001722">
            <w:pPr>
              <w:pStyle w:val="TableParagraph"/>
              <w:rPr>
                <w:sz w:val="20"/>
              </w:rPr>
            </w:pPr>
          </w:p>
        </w:tc>
        <w:tc>
          <w:tcPr>
            <w:tcW w:w="1980" w:type="dxa"/>
          </w:tcPr>
          <w:p w:rsidR="00001722" w:rsidRDefault="00001722">
            <w:pPr>
              <w:pStyle w:val="TableParagraph"/>
              <w:rPr>
                <w:sz w:val="20"/>
              </w:rPr>
            </w:pPr>
          </w:p>
        </w:tc>
        <w:tc>
          <w:tcPr>
            <w:tcW w:w="2257" w:type="dxa"/>
          </w:tcPr>
          <w:p w:rsidR="00001722" w:rsidRDefault="00001722">
            <w:pPr>
              <w:pStyle w:val="TableParagraph"/>
              <w:rPr>
                <w:sz w:val="20"/>
              </w:rPr>
            </w:pPr>
          </w:p>
        </w:tc>
        <w:tc>
          <w:tcPr>
            <w:tcW w:w="1163" w:type="dxa"/>
          </w:tcPr>
          <w:p w:rsidR="00001722" w:rsidRDefault="00001722">
            <w:pPr>
              <w:pStyle w:val="TableParagraph"/>
              <w:rPr>
                <w:sz w:val="20"/>
              </w:rPr>
            </w:pPr>
          </w:p>
        </w:tc>
        <w:tc>
          <w:tcPr>
            <w:tcW w:w="1260" w:type="dxa"/>
          </w:tcPr>
          <w:p w:rsidR="00001722" w:rsidRDefault="00001722">
            <w:pPr>
              <w:pStyle w:val="TableParagraph"/>
              <w:rPr>
                <w:sz w:val="20"/>
              </w:rPr>
            </w:pPr>
          </w:p>
        </w:tc>
        <w:tc>
          <w:tcPr>
            <w:tcW w:w="3960" w:type="dxa"/>
          </w:tcPr>
          <w:p w:rsidR="00001722" w:rsidRDefault="00001722">
            <w:pPr>
              <w:pStyle w:val="TableParagraph"/>
              <w:rPr>
                <w:sz w:val="20"/>
              </w:rPr>
            </w:pPr>
          </w:p>
        </w:tc>
      </w:tr>
    </w:tbl>
    <w:p w:rsidR="00001722" w:rsidRDefault="00001722">
      <w:pPr>
        <w:pStyle w:val="BodyText"/>
        <w:rPr>
          <w:rFonts w:ascii="Times New Roman"/>
          <w:sz w:val="26"/>
        </w:rPr>
      </w:pPr>
    </w:p>
    <w:p w:rsidR="00001722" w:rsidRDefault="00A92B78">
      <w:pPr>
        <w:pStyle w:val="BodyText"/>
        <w:spacing w:before="205"/>
        <w:ind w:left="232"/>
      </w:pPr>
      <w:r>
        <w:t>Return completed form to:</w:t>
      </w:r>
    </w:p>
    <w:p w:rsidR="00001722" w:rsidRDefault="00001722">
      <w:pPr>
        <w:pStyle w:val="BodyText"/>
        <w:spacing w:before="10"/>
        <w:rPr>
          <w:sz w:val="21"/>
        </w:rPr>
      </w:pPr>
    </w:p>
    <w:p w:rsidR="00A92B78" w:rsidRDefault="00A92B78" w:rsidP="00A92B78">
      <w:pPr>
        <w:pStyle w:val="BodyText"/>
        <w:ind w:left="232" w:right="9355"/>
      </w:pPr>
      <w:r>
        <w:t>RMS Hazardous Materials Management 1161 W. Samford Avenue, Building 9</w:t>
      </w:r>
    </w:p>
    <w:p w:rsidR="00A92B78" w:rsidRDefault="00A92B78" w:rsidP="00A92B78">
      <w:pPr>
        <w:pStyle w:val="BodyText"/>
        <w:spacing w:before="1"/>
        <w:ind w:left="232"/>
      </w:pPr>
      <w:r>
        <w:t>Fax: 334-844-4197</w:t>
      </w:r>
    </w:p>
    <w:p w:rsidR="00A92B78" w:rsidRDefault="00A92B78" w:rsidP="00A92B78">
      <w:pPr>
        <w:pStyle w:val="BodyText"/>
        <w:ind w:left="232"/>
      </w:pPr>
      <w:r>
        <w:t xml:space="preserve">e-mail: </w:t>
      </w:r>
      <w:hyperlink r:id="rId14" w:history="1">
        <w:r w:rsidRPr="00672712">
          <w:rPr>
            <w:rStyle w:val="Hyperlink"/>
          </w:rPr>
          <w:t>hodgetf@auburn.edu</w:t>
        </w:r>
      </w:hyperlink>
    </w:p>
    <w:p w:rsidR="00001722" w:rsidRDefault="00001722">
      <w:pPr>
        <w:pStyle w:val="BodyText"/>
        <w:ind w:left="232"/>
      </w:pPr>
    </w:p>
    <w:sectPr w:rsidR="00001722">
      <w:headerReference w:type="default" r:id="rId15"/>
      <w:footerReference w:type="default" r:id="rId16"/>
      <w:pgSz w:w="15840" w:h="12240" w:orient="landscape"/>
      <w:pgMar w:top="2040" w:right="1400" w:bottom="280" w:left="920" w:header="16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2B78">
      <w:r>
        <w:separator/>
      </w:r>
    </w:p>
  </w:endnote>
  <w:endnote w:type="continuationSeparator" w:id="0">
    <w:p w:rsidR="00000000" w:rsidRDefault="00A9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22" w:rsidRDefault="00A92B78">
    <w:pPr>
      <w:pStyle w:val="BodyText"/>
      <w:spacing w:line="14" w:lineRule="auto"/>
      <w:rPr>
        <w:sz w:val="20"/>
      </w:rPr>
    </w:pPr>
    <w:r>
      <w:rPr>
        <w:noProof/>
      </w:rPr>
      <mc:AlternateContent>
        <mc:Choice Requires="wps">
          <w:drawing>
            <wp:anchor distT="0" distB="0" distL="114300" distR="114300" simplePos="0" relativeHeight="503303576" behindDoc="1" locked="0" layoutInCell="1" allowOverlap="1">
              <wp:simplePos x="0" y="0"/>
              <wp:positionH relativeFrom="page">
                <wp:posOffset>2738755</wp:posOffset>
              </wp:positionH>
              <wp:positionV relativeFrom="page">
                <wp:posOffset>9153525</wp:posOffset>
              </wp:positionV>
              <wp:extent cx="2294890" cy="4584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722" w:rsidRDefault="00A92B78">
                          <w:pPr>
                            <w:spacing w:before="12"/>
                            <w:ind w:left="19" w:right="18"/>
                            <w:jc w:val="center"/>
                            <w:rPr>
                              <w:rFonts w:ascii="Times New Roman"/>
                              <w:sz w:val="20"/>
                            </w:rPr>
                          </w:pPr>
                          <w:r>
                            <w:rPr>
                              <w:rFonts w:ascii="Times New Roman"/>
                              <w:sz w:val="20"/>
                            </w:rPr>
                            <w:t>Department of Risk Management and Safety Environmental Health and Safety Program 334-844-4870</w:t>
                          </w:r>
                          <w:r>
                            <w:rPr>
                              <w:rFonts w:ascii="Times New Roman"/>
                              <w:sz w:val="20"/>
                            </w:rPr>
                            <w:t xml:space="preserve"> / 334-844-4197 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15.65pt;margin-top:720.75pt;width:180.7pt;height:36.1pt;z-index:-1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asgIAALA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" filled="f" stroked="f">
              <v:textbox inset="0,0,0,0">
                <w:txbxContent>
                  <w:p w:rsidR="00001722" w:rsidRDefault="00A92B78">
                    <w:pPr>
                      <w:spacing w:before="12"/>
                      <w:ind w:left="19" w:right="18"/>
                      <w:jc w:val="center"/>
                      <w:rPr>
                        <w:rFonts w:ascii="Times New Roman"/>
                        <w:sz w:val="20"/>
                      </w:rPr>
                    </w:pPr>
                    <w:r>
                      <w:rPr>
                        <w:rFonts w:ascii="Times New Roman"/>
                        <w:sz w:val="20"/>
                      </w:rPr>
                      <w:t>Department of Risk Management and Safety Environmental Health and Safety Program 334-844-4870</w:t>
                    </w:r>
                    <w:r>
                      <w:rPr>
                        <w:rFonts w:ascii="Times New Roman"/>
                        <w:sz w:val="20"/>
                      </w:rPr>
                      <w:t xml:space="preserve"> / 334-844-4197 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22" w:rsidRDefault="0000172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22" w:rsidRDefault="0000172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2B78">
      <w:r>
        <w:separator/>
      </w:r>
    </w:p>
  </w:footnote>
  <w:footnote w:type="continuationSeparator" w:id="0">
    <w:p w:rsidR="00000000" w:rsidRDefault="00A9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22" w:rsidRDefault="00A92B78">
    <w:pPr>
      <w:pStyle w:val="BodyText"/>
      <w:spacing w:line="14" w:lineRule="auto"/>
      <w:rPr>
        <w:sz w:val="20"/>
      </w:rPr>
    </w:pPr>
    <w:r>
      <w:rPr>
        <w:noProof/>
      </w:rPr>
      <mc:AlternateContent>
        <mc:Choice Requires="wps">
          <w:drawing>
            <wp:anchor distT="0" distB="0" distL="114300" distR="114300" simplePos="0" relativeHeight="503303528" behindDoc="1" locked="0" layoutInCell="1" allowOverlap="1">
              <wp:simplePos x="0" y="0"/>
              <wp:positionH relativeFrom="page">
                <wp:posOffset>901700</wp:posOffset>
              </wp:positionH>
              <wp:positionV relativeFrom="page">
                <wp:posOffset>448945</wp:posOffset>
              </wp:positionV>
              <wp:extent cx="2691130" cy="194310"/>
              <wp:effectExtent l="0" t="127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722" w:rsidRDefault="00A92B78">
                          <w:pPr>
                            <w:spacing w:before="10"/>
                            <w:ind w:left="20"/>
                            <w:rPr>
                              <w:rFonts w:ascii="Times New Roman"/>
                              <w:sz w:val="24"/>
                            </w:rPr>
                          </w:pPr>
                          <w:r>
                            <w:rPr>
                              <w:rFonts w:ascii="Times New Roman"/>
                              <w:sz w:val="24"/>
                            </w:rPr>
                            <w:t>EHS Job Aid: Critical Hazmat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1pt;margin-top:35.35pt;width:211.9pt;height:15.3pt;z-index:-12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QwrwIAAKk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" filled="f" stroked="f">
              <v:textbox inset="0,0,0,0">
                <w:txbxContent>
                  <w:p w:rsidR="00001722" w:rsidRDefault="00A92B78">
                    <w:pPr>
                      <w:spacing w:before="10"/>
                      <w:ind w:left="20"/>
                      <w:rPr>
                        <w:rFonts w:ascii="Times New Roman"/>
                        <w:sz w:val="24"/>
                      </w:rPr>
                    </w:pPr>
                    <w:r>
                      <w:rPr>
                        <w:rFonts w:ascii="Times New Roman"/>
                        <w:sz w:val="24"/>
                      </w:rPr>
                      <w:t>EHS Job Aid: Critical Hazmat Compliance</w:t>
                    </w:r>
                  </w:p>
                </w:txbxContent>
              </v:textbox>
              <w10:wrap anchorx="page" anchory="page"/>
            </v:shape>
          </w:pict>
        </mc:Fallback>
      </mc:AlternateContent>
    </w:r>
    <w:r>
      <w:rPr>
        <w:noProof/>
      </w:rPr>
      <mc:AlternateContent>
        <mc:Choice Requires="wps">
          <w:drawing>
            <wp:anchor distT="0" distB="0" distL="114300" distR="114300" simplePos="0" relativeHeight="503303552" behindDoc="1" locked="0" layoutInCell="1" allowOverlap="1">
              <wp:simplePos x="0" y="0"/>
              <wp:positionH relativeFrom="page">
                <wp:posOffset>5706110</wp:posOffset>
              </wp:positionH>
              <wp:positionV relativeFrom="page">
                <wp:posOffset>448945</wp:posOffset>
              </wp:positionV>
              <wp:extent cx="706755" cy="194310"/>
              <wp:effectExtent l="635" t="127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722" w:rsidRDefault="00A92B78">
                          <w:pPr>
                            <w:spacing w:before="10"/>
                            <w:ind w:left="20"/>
                            <w:rPr>
                              <w:rFonts w:ascii="Times New Roman"/>
                              <w:sz w:val="24"/>
                            </w:rPr>
                          </w:pPr>
                          <w:r>
                            <w:rPr>
                              <w:rFonts w:ascii="Times New Roman"/>
                              <w:sz w:val="24"/>
                            </w:rPr>
                            <w:t>rev (01</w:t>
                          </w:r>
                          <w:r>
                            <w:rPr>
                              <w:rFonts w:ascii="Times New Roman"/>
                              <w:sz w:val="24"/>
                            </w:rPr>
                            <w:t>/1</w:t>
                          </w:r>
                          <w:r>
                            <w:rPr>
                              <w:rFonts w:ascii="Times New Roman"/>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49.3pt;margin-top:35.35pt;width:55.65pt;height:15.3pt;z-index:-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rcsQIAAK8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" filled="f" stroked="f">
              <v:textbox inset="0,0,0,0">
                <w:txbxContent>
                  <w:p w:rsidR="00001722" w:rsidRDefault="00A92B78">
                    <w:pPr>
                      <w:spacing w:before="10"/>
                      <w:ind w:left="20"/>
                      <w:rPr>
                        <w:rFonts w:ascii="Times New Roman"/>
                        <w:sz w:val="24"/>
                      </w:rPr>
                    </w:pPr>
                    <w:r>
                      <w:rPr>
                        <w:rFonts w:ascii="Times New Roman"/>
                        <w:sz w:val="24"/>
                      </w:rPr>
                      <w:t>rev (01</w:t>
                    </w:r>
                    <w:r>
                      <w:rPr>
                        <w:rFonts w:ascii="Times New Roman"/>
                        <w:sz w:val="24"/>
                      </w:rPr>
                      <w:t>/1</w:t>
                    </w:r>
                    <w:r>
                      <w:rPr>
                        <w:rFonts w:ascii="Times New Roman"/>
                        <w:sz w:val="24"/>
                      </w:rPr>
                      <w:t>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22" w:rsidRDefault="00A92B78">
    <w:pPr>
      <w:pStyle w:val="BodyText"/>
      <w:spacing w:line="14" w:lineRule="auto"/>
      <w:rPr>
        <w:sz w:val="20"/>
      </w:rPr>
    </w:pPr>
    <w:r>
      <w:rPr>
        <w:noProof/>
      </w:rPr>
      <mc:AlternateContent>
        <mc:Choice Requires="wps">
          <w:drawing>
            <wp:anchor distT="0" distB="0" distL="114300" distR="114300" simplePos="0" relativeHeight="503303600" behindDoc="1" locked="0" layoutInCell="1" allowOverlap="1">
              <wp:simplePos x="0" y="0"/>
              <wp:positionH relativeFrom="page">
                <wp:posOffset>718820</wp:posOffset>
              </wp:positionH>
              <wp:positionV relativeFrom="page">
                <wp:posOffset>1059815</wp:posOffset>
              </wp:positionV>
              <wp:extent cx="2000885" cy="252730"/>
              <wp:effectExtent l="4445" t="2540" r="444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722" w:rsidRDefault="00A92B78">
                          <w:pPr>
                            <w:spacing w:before="10"/>
                            <w:ind w:left="20"/>
                            <w:rPr>
                              <w:b/>
                              <w:sz w:val="32"/>
                            </w:rPr>
                          </w:pPr>
                          <w:r>
                            <w:rPr>
                              <w:b/>
                              <w:sz w:val="32"/>
                            </w:rPr>
                            <w:t>PROCESS ID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6.6pt;margin-top:83.45pt;width:157.55pt;height:19.9pt;z-index:-1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vQsgIAALA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" filled="f" stroked="f">
              <v:textbox inset="0,0,0,0">
                <w:txbxContent>
                  <w:p w:rsidR="00001722" w:rsidRDefault="00A92B78">
                    <w:pPr>
                      <w:spacing w:before="10"/>
                      <w:ind w:left="20"/>
                      <w:rPr>
                        <w:b/>
                        <w:sz w:val="32"/>
                      </w:rPr>
                    </w:pPr>
                    <w:r>
                      <w:rPr>
                        <w:b/>
                        <w:sz w:val="32"/>
                      </w:rPr>
                      <w:t>PROCESS ID 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22" w:rsidRDefault="00A92B78">
    <w:pPr>
      <w:pStyle w:val="BodyText"/>
      <w:spacing w:line="14" w:lineRule="auto"/>
      <w:rPr>
        <w:sz w:val="20"/>
      </w:rPr>
    </w:pPr>
    <w:r>
      <w:rPr>
        <w:noProof/>
      </w:rPr>
      <mc:AlternateContent>
        <mc:Choice Requires="wps">
          <w:drawing>
            <wp:anchor distT="0" distB="0" distL="114300" distR="114300" simplePos="0" relativeHeight="503303624" behindDoc="1" locked="0" layoutInCell="1" allowOverlap="1">
              <wp:simplePos x="0" y="0"/>
              <wp:positionH relativeFrom="page">
                <wp:posOffset>718820</wp:posOffset>
              </wp:positionH>
              <wp:positionV relativeFrom="page">
                <wp:posOffset>1059815</wp:posOffset>
              </wp:positionV>
              <wp:extent cx="2628900" cy="252730"/>
              <wp:effectExtent l="4445" t="254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722" w:rsidRDefault="00A92B78">
                          <w:pPr>
                            <w:spacing w:before="10"/>
                            <w:ind w:left="20"/>
                            <w:rPr>
                              <w:b/>
                              <w:sz w:val="32"/>
                            </w:rPr>
                          </w:pPr>
                          <w:r>
                            <w:rPr>
                              <w:b/>
                              <w:sz w:val="32"/>
                            </w:rPr>
                            <w:t>BULK STORAGE ID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6.6pt;margin-top:83.45pt;width:207pt;height:19.9pt;z-index:-1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UCsQ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" filled="f" stroked="f">
              <v:textbox inset="0,0,0,0">
                <w:txbxContent>
                  <w:p w:rsidR="00001722" w:rsidRDefault="00A92B78">
                    <w:pPr>
                      <w:spacing w:before="10"/>
                      <w:ind w:left="20"/>
                      <w:rPr>
                        <w:b/>
                        <w:sz w:val="32"/>
                      </w:rPr>
                    </w:pPr>
                    <w:r>
                      <w:rPr>
                        <w:b/>
                        <w:sz w:val="32"/>
                      </w:rPr>
                      <w:t>BULK STORAGE ID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51F"/>
    <w:multiLevelType w:val="hybridMultilevel"/>
    <w:tmpl w:val="D4823152"/>
    <w:lvl w:ilvl="0" w:tplc="6B3685A2">
      <w:start w:val="1"/>
      <w:numFmt w:val="decimal"/>
      <w:lvlText w:val="%1."/>
      <w:lvlJc w:val="left"/>
      <w:pPr>
        <w:ind w:left="840" w:hanging="361"/>
        <w:jc w:val="left"/>
      </w:pPr>
      <w:rPr>
        <w:rFonts w:ascii="Arial" w:eastAsia="Arial" w:hAnsi="Arial" w:cs="Arial" w:hint="default"/>
        <w:w w:val="99"/>
        <w:sz w:val="22"/>
        <w:szCs w:val="22"/>
      </w:rPr>
    </w:lvl>
    <w:lvl w:ilvl="1" w:tplc="262A685A">
      <w:start w:val="1"/>
      <w:numFmt w:val="lowerLetter"/>
      <w:lvlText w:val="%2."/>
      <w:lvlJc w:val="left"/>
      <w:pPr>
        <w:ind w:left="1200" w:hanging="361"/>
        <w:jc w:val="left"/>
      </w:pPr>
      <w:rPr>
        <w:rFonts w:ascii="Arial" w:eastAsia="Arial" w:hAnsi="Arial" w:cs="Arial" w:hint="default"/>
        <w:w w:val="99"/>
        <w:sz w:val="22"/>
        <w:szCs w:val="22"/>
      </w:rPr>
    </w:lvl>
    <w:lvl w:ilvl="2" w:tplc="B1742C26">
      <w:numFmt w:val="bullet"/>
      <w:lvlText w:val="•"/>
      <w:lvlJc w:val="left"/>
      <w:pPr>
        <w:ind w:left="2131" w:hanging="361"/>
      </w:pPr>
      <w:rPr>
        <w:rFonts w:hint="default"/>
      </w:rPr>
    </w:lvl>
    <w:lvl w:ilvl="3" w:tplc="105E2DD4">
      <w:numFmt w:val="bullet"/>
      <w:lvlText w:val="•"/>
      <w:lvlJc w:val="left"/>
      <w:pPr>
        <w:ind w:left="3062" w:hanging="361"/>
      </w:pPr>
      <w:rPr>
        <w:rFonts w:hint="default"/>
      </w:rPr>
    </w:lvl>
    <w:lvl w:ilvl="4" w:tplc="9D3A3B40">
      <w:numFmt w:val="bullet"/>
      <w:lvlText w:val="•"/>
      <w:lvlJc w:val="left"/>
      <w:pPr>
        <w:ind w:left="3993" w:hanging="361"/>
      </w:pPr>
      <w:rPr>
        <w:rFonts w:hint="default"/>
      </w:rPr>
    </w:lvl>
    <w:lvl w:ilvl="5" w:tplc="973C5BDE">
      <w:numFmt w:val="bullet"/>
      <w:lvlText w:val="•"/>
      <w:lvlJc w:val="left"/>
      <w:pPr>
        <w:ind w:left="4924" w:hanging="361"/>
      </w:pPr>
      <w:rPr>
        <w:rFonts w:hint="default"/>
      </w:rPr>
    </w:lvl>
    <w:lvl w:ilvl="6" w:tplc="E9DC1B84">
      <w:numFmt w:val="bullet"/>
      <w:lvlText w:val="•"/>
      <w:lvlJc w:val="left"/>
      <w:pPr>
        <w:ind w:left="5855" w:hanging="361"/>
      </w:pPr>
      <w:rPr>
        <w:rFonts w:hint="default"/>
      </w:rPr>
    </w:lvl>
    <w:lvl w:ilvl="7" w:tplc="ECB68FB4">
      <w:numFmt w:val="bullet"/>
      <w:lvlText w:val="•"/>
      <w:lvlJc w:val="left"/>
      <w:pPr>
        <w:ind w:left="6786" w:hanging="361"/>
      </w:pPr>
      <w:rPr>
        <w:rFonts w:hint="default"/>
      </w:rPr>
    </w:lvl>
    <w:lvl w:ilvl="8" w:tplc="7B9ECEE6">
      <w:numFmt w:val="bullet"/>
      <w:lvlText w:val="•"/>
      <w:lvlJc w:val="left"/>
      <w:pPr>
        <w:ind w:left="7717" w:hanging="361"/>
      </w:pPr>
      <w:rPr>
        <w:rFonts w:hint="default"/>
      </w:rPr>
    </w:lvl>
  </w:abstractNum>
  <w:abstractNum w:abstractNumId="1" w15:restartNumberingAfterBreak="0">
    <w:nsid w:val="732A56E5"/>
    <w:multiLevelType w:val="hybridMultilevel"/>
    <w:tmpl w:val="90847984"/>
    <w:lvl w:ilvl="0" w:tplc="33467A4C">
      <w:start w:val="1"/>
      <w:numFmt w:val="decimal"/>
      <w:lvlText w:val="%1."/>
      <w:lvlJc w:val="left"/>
      <w:pPr>
        <w:ind w:left="839" w:hanging="361"/>
        <w:jc w:val="left"/>
      </w:pPr>
      <w:rPr>
        <w:rFonts w:ascii="Arial" w:eastAsia="Arial" w:hAnsi="Arial" w:cs="Arial" w:hint="default"/>
        <w:w w:val="99"/>
        <w:sz w:val="22"/>
        <w:szCs w:val="22"/>
      </w:rPr>
    </w:lvl>
    <w:lvl w:ilvl="1" w:tplc="3830E192">
      <w:numFmt w:val="bullet"/>
      <w:lvlText w:val="•"/>
      <w:lvlJc w:val="left"/>
      <w:pPr>
        <w:ind w:left="1714" w:hanging="361"/>
      </w:pPr>
      <w:rPr>
        <w:rFonts w:hint="default"/>
      </w:rPr>
    </w:lvl>
    <w:lvl w:ilvl="2" w:tplc="3A1A67BC">
      <w:numFmt w:val="bullet"/>
      <w:lvlText w:val="•"/>
      <w:lvlJc w:val="left"/>
      <w:pPr>
        <w:ind w:left="2588" w:hanging="361"/>
      </w:pPr>
      <w:rPr>
        <w:rFonts w:hint="default"/>
      </w:rPr>
    </w:lvl>
    <w:lvl w:ilvl="3" w:tplc="3424AC52">
      <w:numFmt w:val="bullet"/>
      <w:lvlText w:val="•"/>
      <w:lvlJc w:val="left"/>
      <w:pPr>
        <w:ind w:left="3462" w:hanging="361"/>
      </w:pPr>
      <w:rPr>
        <w:rFonts w:hint="default"/>
      </w:rPr>
    </w:lvl>
    <w:lvl w:ilvl="4" w:tplc="54B89E8A">
      <w:numFmt w:val="bullet"/>
      <w:lvlText w:val="•"/>
      <w:lvlJc w:val="left"/>
      <w:pPr>
        <w:ind w:left="4336" w:hanging="361"/>
      </w:pPr>
      <w:rPr>
        <w:rFonts w:hint="default"/>
      </w:rPr>
    </w:lvl>
    <w:lvl w:ilvl="5" w:tplc="9D822924">
      <w:numFmt w:val="bullet"/>
      <w:lvlText w:val="•"/>
      <w:lvlJc w:val="left"/>
      <w:pPr>
        <w:ind w:left="5210" w:hanging="361"/>
      </w:pPr>
      <w:rPr>
        <w:rFonts w:hint="default"/>
      </w:rPr>
    </w:lvl>
    <w:lvl w:ilvl="6" w:tplc="9BDE2786">
      <w:numFmt w:val="bullet"/>
      <w:lvlText w:val="•"/>
      <w:lvlJc w:val="left"/>
      <w:pPr>
        <w:ind w:left="6084" w:hanging="361"/>
      </w:pPr>
      <w:rPr>
        <w:rFonts w:hint="default"/>
      </w:rPr>
    </w:lvl>
    <w:lvl w:ilvl="7" w:tplc="BEBA833E">
      <w:numFmt w:val="bullet"/>
      <w:lvlText w:val="•"/>
      <w:lvlJc w:val="left"/>
      <w:pPr>
        <w:ind w:left="6958" w:hanging="361"/>
      </w:pPr>
      <w:rPr>
        <w:rFonts w:hint="default"/>
      </w:rPr>
    </w:lvl>
    <w:lvl w:ilvl="8" w:tplc="5434D02E">
      <w:numFmt w:val="bullet"/>
      <w:lvlText w:val="•"/>
      <w:lvlJc w:val="left"/>
      <w:pPr>
        <w:ind w:left="7832"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22"/>
    <w:rsid w:val="00001722"/>
    <w:rsid w:val="004B28AA"/>
    <w:rsid w:val="00A9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BF12"/>
  <w15:docId w15:val="{8E370EE7-A36F-4F63-96F3-D28EFFAE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2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right="114"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4B28AA"/>
    <w:rPr>
      <w:color w:val="0000FF" w:themeColor="hyperlink"/>
      <w:u w:val="single"/>
    </w:rPr>
  </w:style>
  <w:style w:type="paragraph" w:styleId="Header">
    <w:name w:val="header"/>
    <w:basedOn w:val="Normal"/>
    <w:link w:val="HeaderChar"/>
    <w:uiPriority w:val="99"/>
    <w:unhideWhenUsed/>
    <w:rsid w:val="00A92B78"/>
    <w:pPr>
      <w:tabs>
        <w:tab w:val="center" w:pos="4680"/>
        <w:tab w:val="right" w:pos="9360"/>
      </w:tabs>
    </w:pPr>
  </w:style>
  <w:style w:type="character" w:customStyle="1" w:styleId="HeaderChar">
    <w:name w:val="Header Char"/>
    <w:basedOn w:val="DefaultParagraphFont"/>
    <w:link w:val="Header"/>
    <w:uiPriority w:val="99"/>
    <w:rsid w:val="00A92B78"/>
    <w:rPr>
      <w:rFonts w:ascii="Arial" w:eastAsia="Arial" w:hAnsi="Arial" w:cs="Arial"/>
    </w:rPr>
  </w:style>
  <w:style w:type="paragraph" w:styleId="Footer">
    <w:name w:val="footer"/>
    <w:basedOn w:val="Normal"/>
    <w:link w:val="FooterChar"/>
    <w:uiPriority w:val="99"/>
    <w:unhideWhenUsed/>
    <w:rsid w:val="00A92B78"/>
    <w:pPr>
      <w:tabs>
        <w:tab w:val="center" w:pos="4680"/>
        <w:tab w:val="right" w:pos="9360"/>
      </w:tabs>
    </w:pPr>
  </w:style>
  <w:style w:type="character" w:customStyle="1" w:styleId="FooterChar">
    <w:name w:val="Footer Char"/>
    <w:basedOn w:val="DefaultParagraphFont"/>
    <w:link w:val="Footer"/>
    <w:uiPriority w:val="99"/>
    <w:rsid w:val="00A92B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uburn.edu/administration/rms/environmental.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dgetf@auburn.ed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hodgetf@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Microsoft Word - EHSJA-HazmatCompliance _08-09_.doc</vt:lpstr>
    </vt:vector>
  </TitlesOfParts>
  <Company>Auburn University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EHSJA-HazmatCompliance _08-09_.doc</dc:title>
  <dc:creator>nelsost</dc:creator>
  <cp:lastModifiedBy>Thomas Hodges</cp:lastModifiedBy>
  <cp:revision>2</cp:revision>
  <dcterms:created xsi:type="dcterms:W3CDTF">2019-01-10T14:57:00Z</dcterms:created>
  <dcterms:modified xsi:type="dcterms:W3CDTF">2019-01-10T14:57:00Z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2009-09-14T00:00:00Z</vt:filetime>
  </property>
  <property fmtid="{D5CDD505-2E9C-101B-9397-08002B2CF9AE}" pid="3" name="Creator">
    <vt:lpwstr>PScript5.dll Version 5.2.2</vt:lpwstr>
  </property>
  <property fmtid="{D5CDD505-2E9C-101B-9397-08002B2CF9AE}" pid="4" name="LastSaved">
    <vt:filetime>2019-01-10T00:00:00Z</vt:filetime>
  </property>
</Properties>
</file>