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020" w:rsidRPr="00104B75" w:rsidRDefault="00B459E3" w:rsidP="00B459E3">
      <w:pPr>
        <w:jc w:val="center"/>
        <w:rPr>
          <w:b/>
          <w:sz w:val="32"/>
        </w:rPr>
      </w:pPr>
      <w:r w:rsidRPr="00104B75">
        <w:rPr>
          <w:b/>
          <w:sz w:val="32"/>
        </w:rPr>
        <w:t>Are Studies Involving Vulnerable Populations Eligible for Exemption?</w:t>
      </w:r>
    </w:p>
    <w:p w:rsidR="00B459E3" w:rsidRDefault="00B459E3" w:rsidP="00B459E3">
      <w:pPr>
        <w:jc w:val="center"/>
      </w:pPr>
      <w:r>
        <w:t xml:space="preserve">The involvement of a </w:t>
      </w:r>
      <w:r w:rsidRPr="00B459E3">
        <w:rPr>
          <w:u w:val="single"/>
        </w:rPr>
        <w:t>vulnerable population</w:t>
      </w:r>
      <w:r>
        <w:t xml:space="preserve"> does not automatically disqualify studies from an exemption. The Common Rule allows for the involvement of most vulnerable populations covered by </w:t>
      </w:r>
      <w:r w:rsidRPr="00B459E3">
        <w:rPr>
          <w:u w:val="single"/>
        </w:rPr>
        <w:t>subparts B, C,</w:t>
      </w:r>
      <w:r>
        <w:t xml:space="preserve"> and </w:t>
      </w:r>
      <w:r w:rsidRPr="00B459E3">
        <w:rPr>
          <w:u w:val="single"/>
        </w:rPr>
        <w:t>D</w:t>
      </w:r>
      <w:r w:rsidR="00E90584">
        <w:t xml:space="preserve"> (see table b</w:t>
      </w:r>
      <w:r>
        <w:t>elow) assuming the study activities meet the requi</w:t>
      </w:r>
      <w:r w:rsidR="00E261B7">
        <w:t xml:space="preserve">rements of an exemption. The AU IRB will </w:t>
      </w:r>
      <w:r>
        <w:t xml:space="preserve">consider the nature or characteristics of the vulnerability to determine eligibility. 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055"/>
        <w:gridCol w:w="2430"/>
        <w:gridCol w:w="2610"/>
        <w:gridCol w:w="2700"/>
      </w:tblGrid>
      <w:tr w:rsidR="003B053F" w:rsidTr="00283A05">
        <w:trPr>
          <w:trHeight w:val="458"/>
        </w:trPr>
        <w:tc>
          <w:tcPr>
            <w:tcW w:w="10795" w:type="dxa"/>
            <w:gridSpan w:val="4"/>
            <w:shd w:val="clear" w:color="auto" w:fill="9CC2E5" w:themeFill="accent1" w:themeFillTint="99"/>
          </w:tcPr>
          <w:p w:rsidR="003B053F" w:rsidRPr="00E5201B" w:rsidRDefault="003B053F" w:rsidP="00B459E3">
            <w:pPr>
              <w:jc w:val="center"/>
              <w:rPr>
                <w:b/>
                <w:sz w:val="32"/>
              </w:rPr>
            </w:pPr>
            <w:r w:rsidRPr="00E5201B">
              <w:rPr>
                <w:b/>
                <w:sz w:val="32"/>
              </w:rPr>
              <w:t>Application of Exemption Categories to Subpart Populations</w:t>
            </w:r>
          </w:p>
        </w:tc>
      </w:tr>
      <w:tr w:rsidR="003B053F" w:rsidTr="00283A05">
        <w:trPr>
          <w:trHeight w:val="800"/>
        </w:trPr>
        <w:tc>
          <w:tcPr>
            <w:tcW w:w="3055" w:type="dxa"/>
            <w:shd w:val="clear" w:color="auto" w:fill="A8D08D" w:themeFill="accent6" w:themeFillTint="99"/>
            <w:vAlign w:val="center"/>
          </w:tcPr>
          <w:p w:rsidR="003B053F" w:rsidRPr="00104B75" w:rsidRDefault="003B053F" w:rsidP="00B459E3">
            <w:pPr>
              <w:jc w:val="center"/>
              <w:rPr>
                <w:b/>
              </w:rPr>
            </w:pPr>
            <w:r w:rsidRPr="00104B75">
              <w:rPr>
                <w:b/>
                <w:sz w:val="24"/>
              </w:rPr>
              <w:t>Exemption Category</w:t>
            </w:r>
          </w:p>
        </w:tc>
        <w:tc>
          <w:tcPr>
            <w:tcW w:w="2430" w:type="dxa"/>
            <w:shd w:val="clear" w:color="auto" w:fill="A8D08D" w:themeFill="accent6" w:themeFillTint="99"/>
            <w:vAlign w:val="center"/>
          </w:tcPr>
          <w:p w:rsidR="003B053F" w:rsidRPr="00104B75" w:rsidRDefault="003B053F" w:rsidP="003B053F">
            <w:pPr>
              <w:rPr>
                <w:b/>
                <w:sz w:val="24"/>
              </w:rPr>
            </w:pPr>
            <w:r w:rsidRPr="00104B75">
              <w:rPr>
                <w:b/>
                <w:sz w:val="24"/>
              </w:rPr>
              <w:t xml:space="preserve">Subpart B Fetuses, Pregnant Women, and Human </w:t>
            </w:r>
            <w:proofErr w:type="gramStart"/>
            <w:r w:rsidRPr="00104B75">
              <w:rPr>
                <w:b/>
                <w:sz w:val="24"/>
              </w:rPr>
              <w:t>In</w:t>
            </w:r>
            <w:proofErr w:type="gramEnd"/>
            <w:r w:rsidRPr="00104B75">
              <w:rPr>
                <w:b/>
                <w:sz w:val="24"/>
              </w:rPr>
              <w:t xml:space="preserve"> Vitro Fertilization</w:t>
            </w:r>
          </w:p>
          <w:p w:rsidR="003B053F" w:rsidRPr="00104B75" w:rsidRDefault="003B053F" w:rsidP="003B053F">
            <w:pPr>
              <w:rPr>
                <w:b/>
                <w:sz w:val="24"/>
              </w:rPr>
            </w:pPr>
            <w:r w:rsidRPr="00104B75">
              <w:rPr>
                <w:b/>
                <w:sz w:val="24"/>
              </w:rPr>
              <w:t>45 CFR 46.104 (b)(1)</w:t>
            </w:r>
          </w:p>
        </w:tc>
        <w:tc>
          <w:tcPr>
            <w:tcW w:w="2610" w:type="dxa"/>
            <w:shd w:val="clear" w:color="auto" w:fill="A8D08D" w:themeFill="accent6" w:themeFillTint="99"/>
            <w:vAlign w:val="bottom"/>
          </w:tcPr>
          <w:p w:rsidR="003B053F" w:rsidRPr="00104B75" w:rsidRDefault="00104B75" w:rsidP="00A86DF7">
            <w:pPr>
              <w:jc w:val="center"/>
              <w:rPr>
                <w:b/>
              </w:rPr>
            </w:pPr>
            <w:r w:rsidRPr="00104B75">
              <w:rPr>
                <w:b/>
                <w:sz w:val="24"/>
              </w:rPr>
              <w:t xml:space="preserve">Subpart C Prisoners </w:t>
            </w:r>
            <w:r w:rsidR="00A86DF7">
              <w:rPr>
                <w:b/>
                <w:sz w:val="24"/>
              </w:rPr>
              <w:t xml:space="preserve">   </w:t>
            </w:r>
            <w:r w:rsidRPr="00104B75">
              <w:rPr>
                <w:b/>
                <w:sz w:val="24"/>
              </w:rPr>
              <w:t>45 CFR 46.104 (b)(2)</w:t>
            </w:r>
          </w:p>
        </w:tc>
        <w:tc>
          <w:tcPr>
            <w:tcW w:w="2700" w:type="dxa"/>
            <w:shd w:val="clear" w:color="auto" w:fill="A8D08D" w:themeFill="accent6" w:themeFillTint="99"/>
            <w:vAlign w:val="bottom"/>
          </w:tcPr>
          <w:p w:rsidR="003B053F" w:rsidRPr="00104B75" w:rsidRDefault="00104B75" w:rsidP="00A86DF7">
            <w:pPr>
              <w:jc w:val="center"/>
              <w:rPr>
                <w:b/>
                <w:sz w:val="24"/>
              </w:rPr>
            </w:pPr>
            <w:r w:rsidRPr="00104B75">
              <w:rPr>
                <w:b/>
                <w:sz w:val="24"/>
              </w:rPr>
              <w:t>Subpart D Children</w:t>
            </w:r>
          </w:p>
          <w:p w:rsidR="00104B75" w:rsidRDefault="00104B75" w:rsidP="00A86DF7">
            <w:pPr>
              <w:jc w:val="center"/>
            </w:pPr>
            <w:r w:rsidRPr="00104B75">
              <w:rPr>
                <w:b/>
                <w:sz w:val="24"/>
              </w:rPr>
              <w:t>45 CFR 46.104 (b)(3)</w:t>
            </w:r>
            <w:r w:rsidR="005708EA">
              <w:rPr>
                <w:b/>
                <w:sz w:val="24"/>
              </w:rPr>
              <w:t>*</w:t>
            </w:r>
          </w:p>
        </w:tc>
      </w:tr>
      <w:tr w:rsidR="00C01E1F" w:rsidTr="00283A05">
        <w:tc>
          <w:tcPr>
            <w:tcW w:w="3055" w:type="dxa"/>
            <w:shd w:val="clear" w:color="auto" w:fill="FFE599" w:themeFill="accent4" w:themeFillTint="66"/>
          </w:tcPr>
          <w:p w:rsidR="00C01E1F" w:rsidRDefault="00C01E1F" w:rsidP="00104B75">
            <w:r w:rsidRPr="00D464DB">
              <w:rPr>
                <w:b/>
              </w:rPr>
              <w:t>1</w:t>
            </w:r>
            <w:r>
              <w:t xml:space="preserve">    Normal Educational </w:t>
            </w:r>
            <w:r>
              <w:br/>
              <w:t xml:space="preserve">      Practices and Settings </w:t>
            </w:r>
          </w:p>
        </w:tc>
        <w:tc>
          <w:tcPr>
            <w:tcW w:w="2430" w:type="dxa"/>
            <w:vMerge w:val="restart"/>
            <w:shd w:val="clear" w:color="auto" w:fill="FFFFCC"/>
          </w:tcPr>
          <w:p w:rsidR="00C01E1F" w:rsidRDefault="00C01E1F" w:rsidP="00C01E1F">
            <w:r>
              <w:t>Each of the exemptions may be applied</w:t>
            </w:r>
          </w:p>
        </w:tc>
        <w:tc>
          <w:tcPr>
            <w:tcW w:w="2610" w:type="dxa"/>
            <w:vMerge w:val="restart"/>
            <w:shd w:val="clear" w:color="auto" w:fill="FFFFCC"/>
          </w:tcPr>
          <w:p w:rsidR="00C01E1F" w:rsidRDefault="00C01E1F" w:rsidP="00C01E1F">
            <w:r>
              <w:t xml:space="preserve">None of the exemptions may be applied </w:t>
            </w:r>
            <w:r w:rsidRPr="00C01E1F">
              <w:rPr>
                <w:u w:val="single"/>
              </w:rPr>
              <w:t>“except for research aimed at involving a broader subject population that only incidentally includes prisoners”</w:t>
            </w:r>
          </w:p>
        </w:tc>
        <w:tc>
          <w:tcPr>
            <w:tcW w:w="2700" w:type="dxa"/>
            <w:shd w:val="clear" w:color="auto" w:fill="FFFFCC"/>
          </w:tcPr>
          <w:p w:rsidR="00C01E1F" w:rsidRDefault="00C01E1F" w:rsidP="00C01E1F">
            <w:r>
              <w:t>May be applied</w:t>
            </w:r>
          </w:p>
        </w:tc>
      </w:tr>
      <w:tr w:rsidR="00C01E1F" w:rsidTr="00283A05">
        <w:tc>
          <w:tcPr>
            <w:tcW w:w="3055" w:type="dxa"/>
            <w:shd w:val="clear" w:color="auto" w:fill="FFE599" w:themeFill="accent4" w:themeFillTint="66"/>
          </w:tcPr>
          <w:p w:rsidR="00C01E1F" w:rsidRDefault="00C01E1F" w:rsidP="00104B75">
            <w:r w:rsidRPr="00D464DB">
              <w:rPr>
                <w:b/>
              </w:rPr>
              <w:t xml:space="preserve">2i </w:t>
            </w:r>
            <w:r>
              <w:t xml:space="preserve">  Educational Test, Surveys </w:t>
            </w:r>
            <w:r>
              <w:br/>
              <w:t xml:space="preserve">      Interviews, or Observations: </w:t>
            </w:r>
            <w:r>
              <w:br/>
              <w:t xml:space="preserve">      Anonymous</w:t>
            </w:r>
          </w:p>
          <w:p w:rsidR="00C01E1F" w:rsidRDefault="00C01E1F" w:rsidP="00104B75">
            <w:r>
              <w:br/>
            </w:r>
            <w:r w:rsidRPr="00D464DB">
              <w:rPr>
                <w:b/>
              </w:rPr>
              <w:t>2ii</w:t>
            </w:r>
            <w:r>
              <w:t xml:space="preserve">  Educational Tests, Surveys, </w:t>
            </w:r>
            <w:r>
              <w:br/>
              <w:t xml:space="preserve">      Interviews, or Observations: </w:t>
            </w:r>
            <w:r>
              <w:br/>
              <w:t xml:space="preserve">      not sensitive</w:t>
            </w:r>
          </w:p>
        </w:tc>
        <w:tc>
          <w:tcPr>
            <w:tcW w:w="2430" w:type="dxa"/>
            <w:vMerge/>
            <w:shd w:val="clear" w:color="auto" w:fill="FFFFCC"/>
          </w:tcPr>
          <w:p w:rsidR="00C01E1F" w:rsidRDefault="00C01E1F" w:rsidP="00B459E3">
            <w:pPr>
              <w:jc w:val="center"/>
            </w:pPr>
          </w:p>
        </w:tc>
        <w:tc>
          <w:tcPr>
            <w:tcW w:w="2610" w:type="dxa"/>
            <w:vMerge/>
            <w:shd w:val="clear" w:color="auto" w:fill="FFFFCC"/>
          </w:tcPr>
          <w:p w:rsidR="00C01E1F" w:rsidRDefault="00C01E1F" w:rsidP="00B459E3">
            <w:pPr>
              <w:jc w:val="center"/>
            </w:pPr>
          </w:p>
        </w:tc>
        <w:tc>
          <w:tcPr>
            <w:tcW w:w="2700" w:type="dxa"/>
            <w:shd w:val="clear" w:color="auto" w:fill="FFFFCC"/>
          </w:tcPr>
          <w:p w:rsidR="00C01E1F" w:rsidRDefault="00C01E1F" w:rsidP="00C01E1F">
            <w:r>
              <w:t xml:space="preserve">May </w:t>
            </w:r>
            <w:r w:rsidRPr="00C01E1F">
              <w:rPr>
                <w:u w:val="single"/>
              </w:rPr>
              <w:t>only</w:t>
            </w:r>
            <w:r>
              <w:t xml:space="preserve"> be applied to “educational tests and observation of public behavior when the investigator(s) do not participate in the activities being observed”</w:t>
            </w:r>
          </w:p>
        </w:tc>
      </w:tr>
      <w:tr w:rsidR="00C01E1F" w:rsidTr="00283A05">
        <w:tc>
          <w:tcPr>
            <w:tcW w:w="3055" w:type="dxa"/>
            <w:shd w:val="clear" w:color="auto" w:fill="FFE599" w:themeFill="accent4" w:themeFillTint="66"/>
          </w:tcPr>
          <w:p w:rsidR="00C01E1F" w:rsidRDefault="00C01E1F" w:rsidP="00104B75">
            <w:r w:rsidRPr="00D464DB">
              <w:rPr>
                <w:b/>
              </w:rPr>
              <w:t>2iii</w:t>
            </w:r>
            <w:r>
              <w:t xml:space="preserve"> Educational Tests, Surveys,</w:t>
            </w:r>
            <w:r>
              <w:br/>
              <w:t xml:space="preserve">      Interviews, or Observations: </w:t>
            </w:r>
            <w:r>
              <w:br/>
              <w:t xml:space="preserve">      not anonymous but has </w:t>
            </w:r>
            <w:r>
              <w:br/>
              <w:t xml:space="preserve">      limited IRB review</w:t>
            </w:r>
          </w:p>
        </w:tc>
        <w:tc>
          <w:tcPr>
            <w:tcW w:w="2430" w:type="dxa"/>
            <w:vMerge/>
            <w:shd w:val="clear" w:color="auto" w:fill="FFFFCC"/>
          </w:tcPr>
          <w:p w:rsidR="00C01E1F" w:rsidRDefault="00C01E1F" w:rsidP="00B459E3">
            <w:pPr>
              <w:jc w:val="center"/>
            </w:pPr>
          </w:p>
        </w:tc>
        <w:tc>
          <w:tcPr>
            <w:tcW w:w="2610" w:type="dxa"/>
            <w:vMerge/>
            <w:shd w:val="clear" w:color="auto" w:fill="FFFFCC"/>
          </w:tcPr>
          <w:p w:rsidR="00C01E1F" w:rsidRDefault="00C01E1F" w:rsidP="00B459E3">
            <w:pPr>
              <w:jc w:val="center"/>
            </w:pPr>
          </w:p>
        </w:tc>
        <w:tc>
          <w:tcPr>
            <w:tcW w:w="2700" w:type="dxa"/>
            <w:shd w:val="clear" w:color="auto" w:fill="FFFFCC"/>
          </w:tcPr>
          <w:p w:rsidR="00C01E1F" w:rsidRDefault="00C01E1F" w:rsidP="00C01E1F">
            <w:r>
              <w:t xml:space="preserve">May </w:t>
            </w:r>
            <w:r w:rsidRPr="00C01E1F">
              <w:rPr>
                <w:u w:val="single"/>
              </w:rPr>
              <w:t>not</w:t>
            </w:r>
            <w:r>
              <w:t xml:space="preserve"> be applied</w:t>
            </w:r>
          </w:p>
        </w:tc>
      </w:tr>
      <w:tr w:rsidR="00C01E1F" w:rsidTr="00283A05">
        <w:tc>
          <w:tcPr>
            <w:tcW w:w="3055" w:type="dxa"/>
            <w:shd w:val="clear" w:color="auto" w:fill="FFE599" w:themeFill="accent4" w:themeFillTint="66"/>
          </w:tcPr>
          <w:p w:rsidR="00C01E1F" w:rsidRDefault="00C01E1F" w:rsidP="00104B75">
            <w:r w:rsidRPr="00D464DB">
              <w:rPr>
                <w:b/>
              </w:rPr>
              <w:t>3</w:t>
            </w:r>
            <w:r>
              <w:t xml:space="preserve">    Benign Behavioral </w:t>
            </w:r>
            <w:r>
              <w:br/>
              <w:t xml:space="preserve">      Interventions with Adults</w:t>
            </w:r>
          </w:p>
        </w:tc>
        <w:tc>
          <w:tcPr>
            <w:tcW w:w="2430" w:type="dxa"/>
            <w:vMerge/>
            <w:shd w:val="clear" w:color="auto" w:fill="FFFFCC"/>
          </w:tcPr>
          <w:p w:rsidR="00C01E1F" w:rsidRDefault="00C01E1F" w:rsidP="00B459E3">
            <w:pPr>
              <w:jc w:val="center"/>
            </w:pPr>
          </w:p>
        </w:tc>
        <w:tc>
          <w:tcPr>
            <w:tcW w:w="2610" w:type="dxa"/>
            <w:vMerge/>
            <w:shd w:val="clear" w:color="auto" w:fill="FFFFCC"/>
          </w:tcPr>
          <w:p w:rsidR="00C01E1F" w:rsidRDefault="00C01E1F" w:rsidP="00B459E3">
            <w:pPr>
              <w:jc w:val="center"/>
            </w:pPr>
          </w:p>
        </w:tc>
        <w:tc>
          <w:tcPr>
            <w:tcW w:w="2700" w:type="dxa"/>
            <w:shd w:val="clear" w:color="auto" w:fill="FFFFCC"/>
          </w:tcPr>
          <w:p w:rsidR="00C01E1F" w:rsidRDefault="00C01E1F" w:rsidP="00C01E1F">
            <w:r>
              <w:t xml:space="preserve">May </w:t>
            </w:r>
            <w:r w:rsidRPr="00C01E1F">
              <w:rPr>
                <w:u w:val="single"/>
              </w:rPr>
              <w:t>not</w:t>
            </w:r>
            <w:r>
              <w:t xml:space="preserve"> be applied</w:t>
            </w:r>
          </w:p>
        </w:tc>
      </w:tr>
      <w:tr w:rsidR="00C01E1F" w:rsidTr="00283A05">
        <w:tc>
          <w:tcPr>
            <w:tcW w:w="3055" w:type="dxa"/>
            <w:shd w:val="clear" w:color="auto" w:fill="FFE599" w:themeFill="accent4" w:themeFillTint="66"/>
          </w:tcPr>
          <w:p w:rsidR="00C01E1F" w:rsidRDefault="00C01E1F" w:rsidP="00104B75">
            <w:r w:rsidRPr="00D464DB">
              <w:rPr>
                <w:b/>
              </w:rPr>
              <w:t>4</w:t>
            </w:r>
            <w:r>
              <w:t xml:space="preserve">    Secondary Research for </w:t>
            </w:r>
            <w:r>
              <w:br/>
              <w:t xml:space="preserve">      which Consent Is Not </w:t>
            </w:r>
            <w:r>
              <w:br/>
              <w:t xml:space="preserve">      Required</w:t>
            </w:r>
          </w:p>
        </w:tc>
        <w:tc>
          <w:tcPr>
            <w:tcW w:w="2430" w:type="dxa"/>
            <w:vMerge/>
            <w:shd w:val="clear" w:color="auto" w:fill="FFFFCC"/>
          </w:tcPr>
          <w:p w:rsidR="00C01E1F" w:rsidRDefault="00C01E1F" w:rsidP="00B459E3">
            <w:pPr>
              <w:jc w:val="center"/>
            </w:pPr>
          </w:p>
        </w:tc>
        <w:tc>
          <w:tcPr>
            <w:tcW w:w="2610" w:type="dxa"/>
            <w:vMerge/>
            <w:shd w:val="clear" w:color="auto" w:fill="FFFFCC"/>
          </w:tcPr>
          <w:p w:rsidR="00C01E1F" w:rsidRDefault="00C01E1F" w:rsidP="00B459E3">
            <w:pPr>
              <w:jc w:val="center"/>
            </w:pPr>
          </w:p>
        </w:tc>
        <w:tc>
          <w:tcPr>
            <w:tcW w:w="2700" w:type="dxa"/>
            <w:shd w:val="clear" w:color="auto" w:fill="FFFFCC"/>
          </w:tcPr>
          <w:p w:rsidR="00C01E1F" w:rsidRDefault="00C01E1F" w:rsidP="00C01E1F">
            <w:r>
              <w:t>May be applied</w:t>
            </w:r>
          </w:p>
        </w:tc>
      </w:tr>
      <w:tr w:rsidR="00C01E1F" w:rsidTr="00283A05">
        <w:tc>
          <w:tcPr>
            <w:tcW w:w="3055" w:type="dxa"/>
            <w:shd w:val="clear" w:color="auto" w:fill="FFE599" w:themeFill="accent4" w:themeFillTint="66"/>
          </w:tcPr>
          <w:p w:rsidR="00C01E1F" w:rsidRDefault="00C01E1F" w:rsidP="00104B75">
            <w:r w:rsidRPr="00D464DB">
              <w:rPr>
                <w:b/>
              </w:rPr>
              <w:t>5</w:t>
            </w:r>
            <w:r>
              <w:t xml:space="preserve">    Public Benefit or Service </w:t>
            </w:r>
            <w:r>
              <w:br/>
              <w:t xml:space="preserve">      Programs</w:t>
            </w:r>
          </w:p>
        </w:tc>
        <w:tc>
          <w:tcPr>
            <w:tcW w:w="2430" w:type="dxa"/>
            <w:vMerge/>
            <w:shd w:val="clear" w:color="auto" w:fill="FFFFCC"/>
          </w:tcPr>
          <w:p w:rsidR="00C01E1F" w:rsidRDefault="00C01E1F" w:rsidP="00B459E3">
            <w:pPr>
              <w:jc w:val="center"/>
            </w:pPr>
          </w:p>
        </w:tc>
        <w:tc>
          <w:tcPr>
            <w:tcW w:w="2610" w:type="dxa"/>
            <w:vMerge/>
            <w:shd w:val="clear" w:color="auto" w:fill="FFFFCC"/>
          </w:tcPr>
          <w:p w:rsidR="00C01E1F" w:rsidRDefault="00C01E1F" w:rsidP="00B459E3">
            <w:pPr>
              <w:jc w:val="center"/>
            </w:pPr>
          </w:p>
        </w:tc>
        <w:tc>
          <w:tcPr>
            <w:tcW w:w="2700" w:type="dxa"/>
            <w:shd w:val="clear" w:color="auto" w:fill="FFFFCC"/>
          </w:tcPr>
          <w:p w:rsidR="00C01E1F" w:rsidRDefault="00C01E1F" w:rsidP="00C01E1F">
            <w:r>
              <w:t>May be applied</w:t>
            </w:r>
          </w:p>
        </w:tc>
      </w:tr>
      <w:tr w:rsidR="00C01E1F" w:rsidTr="00283A05">
        <w:tc>
          <w:tcPr>
            <w:tcW w:w="3055" w:type="dxa"/>
            <w:shd w:val="clear" w:color="auto" w:fill="FFE599" w:themeFill="accent4" w:themeFillTint="66"/>
          </w:tcPr>
          <w:p w:rsidR="00C01E1F" w:rsidRDefault="00C01E1F" w:rsidP="00104B75">
            <w:r w:rsidRPr="00D464DB">
              <w:rPr>
                <w:b/>
              </w:rPr>
              <w:t>6</w:t>
            </w:r>
            <w:r>
              <w:t xml:space="preserve">    Taste and Food Quality </w:t>
            </w:r>
            <w:r>
              <w:br/>
              <w:t xml:space="preserve">      Evaluation and Consumer </w:t>
            </w:r>
            <w:r>
              <w:br/>
              <w:t xml:space="preserve">      Acceptance Studies</w:t>
            </w:r>
          </w:p>
        </w:tc>
        <w:tc>
          <w:tcPr>
            <w:tcW w:w="2430" w:type="dxa"/>
            <w:vMerge/>
            <w:shd w:val="clear" w:color="auto" w:fill="FFFFCC"/>
          </w:tcPr>
          <w:p w:rsidR="00C01E1F" w:rsidRDefault="00C01E1F" w:rsidP="00B459E3">
            <w:pPr>
              <w:jc w:val="center"/>
            </w:pPr>
          </w:p>
        </w:tc>
        <w:tc>
          <w:tcPr>
            <w:tcW w:w="2610" w:type="dxa"/>
            <w:vMerge/>
            <w:shd w:val="clear" w:color="auto" w:fill="FFFFCC"/>
          </w:tcPr>
          <w:p w:rsidR="00C01E1F" w:rsidRDefault="00C01E1F" w:rsidP="00B459E3">
            <w:pPr>
              <w:jc w:val="center"/>
            </w:pPr>
          </w:p>
        </w:tc>
        <w:tc>
          <w:tcPr>
            <w:tcW w:w="2700" w:type="dxa"/>
            <w:shd w:val="clear" w:color="auto" w:fill="FFFFCC"/>
          </w:tcPr>
          <w:p w:rsidR="00C01E1F" w:rsidRDefault="00C01E1F" w:rsidP="00C01E1F">
            <w:r>
              <w:t>May be applied</w:t>
            </w:r>
          </w:p>
        </w:tc>
      </w:tr>
      <w:tr w:rsidR="00512563" w:rsidTr="00283A05">
        <w:tc>
          <w:tcPr>
            <w:tcW w:w="3055" w:type="dxa"/>
            <w:shd w:val="clear" w:color="auto" w:fill="FFE599" w:themeFill="accent4" w:themeFillTint="66"/>
          </w:tcPr>
          <w:p w:rsidR="00512563" w:rsidRDefault="00512563" w:rsidP="00104B75">
            <w:r w:rsidRPr="00D464DB">
              <w:rPr>
                <w:b/>
              </w:rPr>
              <w:t>7</w:t>
            </w:r>
            <w:r>
              <w:t xml:space="preserve">    Storage or Maintenance for</w:t>
            </w:r>
            <w:r>
              <w:br/>
              <w:t xml:space="preserve">      Secondary Research for </w:t>
            </w:r>
            <w:r>
              <w:br/>
              <w:t xml:space="preserve">      Which Broad Consent is </w:t>
            </w:r>
            <w:r>
              <w:br/>
              <w:t xml:space="preserve">      Required</w:t>
            </w:r>
          </w:p>
        </w:tc>
        <w:tc>
          <w:tcPr>
            <w:tcW w:w="7740" w:type="dxa"/>
            <w:gridSpan w:val="3"/>
            <w:vMerge w:val="restart"/>
            <w:shd w:val="clear" w:color="auto" w:fill="FFFFCC"/>
            <w:vAlign w:val="center"/>
          </w:tcPr>
          <w:p w:rsidR="00512563" w:rsidRDefault="00512563" w:rsidP="00283A05">
            <w:r>
              <w:t xml:space="preserve">Exempt categories 7 and 8 require broad consent. The AU IRB has determined the regulatory requirements for legally effect broad consent are not </w:t>
            </w:r>
            <w:r w:rsidR="00283A05">
              <w:t>feasible</w:t>
            </w:r>
            <w:r>
              <w:t xml:space="preserve"> within the current institutional infrastructure. Exempt categories 7 and 8 will </w:t>
            </w:r>
            <w:r w:rsidRPr="00512563">
              <w:rPr>
                <w:u w:val="single"/>
              </w:rPr>
              <w:t>not</w:t>
            </w:r>
            <w:r>
              <w:t xml:space="preserve"> be implemented at this time.</w:t>
            </w:r>
          </w:p>
        </w:tc>
      </w:tr>
      <w:tr w:rsidR="00512563" w:rsidTr="00283A05">
        <w:trPr>
          <w:trHeight w:val="1061"/>
        </w:trPr>
        <w:tc>
          <w:tcPr>
            <w:tcW w:w="3055" w:type="dxa"/>
            <w:shd w:val="clear" w:color="auto" w:fill="FFE599" w:themeFill="accent4" w:themeFillTint="66"/>
          </w:tcPr>
          <w:p w:rsidR="00512563" w:rsidRDefault="00512563" w:rsidP="00512563">
            <w:r w:rsidRPr="00D464DB">
              <w:rPr>
                <w:b/>
              </w:rPr>
              <w:t>8</w:t>
            </w:r>
            <w:r>
              <w:t xml:space="preserve">    Secondary Research for </w:t>
            </w:r>
            <w:r>
              <w:br/>
              <w:t xml:space="preserve">      Which Broad Consent Is </w:t>
            </w:r>
            <w:r>
              <w:br/>
              <w:t xml:space="preserve">      Required</w:t>
            </w:r>
          </w:p>
        </w:tc>
        <w:tc>
          <w:tcPr>
            <w:tcW w:w="7740" w:type="dxa"/>
            <w:gridSpan w:val="3"/>
            <w:vMerge/>
            <w:shd w:val="clear" w:color="auto" w:fill="FFFFCC"/>
          </w:tcPr>
          <w:p w:rsidR="00512563" w:rsidRDefault="00512563" w:rsidP="00512563"/>
        </w:tc>
      </w:tr>
    </w:tbl>
    <w:p w:rsidR="00E261B7" w:rsidRPr="005708EA" w:rsidRDefault="005708EA" w:rsidP="00512563">
      <w:pPr>
        <w:rPr>
          <w:sz w:val="20"/>
        </w:rPr>
      </w:pPr>
      <w:r w:rsidRPr="005708EA">
        <w:rPr>
          <w:sz w:val="20"/>
        </w:rPr>
        <w:t xml:space="preserve">Table from Institutional Review Board Management and Function Third Edition, chapter 5-3 (Bankert, </w:t>
      </w:r>
      <w:proofErr w:type="spellStart"/>
      <w:r w:rsidRPr="005708EA">
        <w:rPr>
          <w:sz w:val="20"/>
        </w:rPr>
        <w:t>etal</w:t>
      </w:r>
      <w:proofErr w:type="spellEnd"/>
      <w:r w:rsidRPr="005708EA">
        <w:rPr>
          <w:sz w:val="20"/>
        </w:rPr>
        <w:t>.)</w:t>
      </w:r>
    </w:p>
    <w:p w:rsidR="00512563" w:rsidRPr="00D464DB" w:rsidRDefault="005708EA" w:rsidP="00512563">
      <w:pPr>
        <w:rPr>
          <w:b/>
        </w:rPr>
      </w:pPr>
      <w:r>
        <w:rPr>
          <w:b/>
        </w:rPr>
        <w:t>*</w:t>
      </w:r>
      <w:r w:rsidR="00512563" w:rsidRPr="00D464DB">
        <w:rPr>
          <w:b/>
        </w:rPr>
        <w:t>Research which occurs out of the United States and t</w:t>
      </w:r>
      <w:bookmarkStart w:id="0" w:name="_GoBack"/>
      <w:bookmarkEnd w:id="0"/>
      <w:r w:rsidR="00512563" w:rsidRPr="00D464DB">
        <w:rPr>
          <w:b/>
        </w:rPr>
        <w:t xml:space="preserve">argets minors/children as participants is </w:t>
      </w:r>
      <w:r w:rsidR="00512563" w:rsidRPr="00D464DB">
        <w:rPr>
          <w:b/>
          <w:u w:val="single"/>
        </w:rPr>
        <w:t>not</w:t>
      </w:r>
      <w:r w:rsidR="00512563" w:rsidRPr="00D464DB">
        <w:rPr>
          <w:b/>
        </w:rPr>
        <w:t xml:space="preserve"> eligible for exempt review.</w:t>
      </w:r>
    </w:p>
    <w:sectPr w:rsidR="00512563" w:rsidRPr="00D464DB" w:rsidSect="00104B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E3"/>
    <w:rsid w:val="00104B75"/>
    <w:rsid w:val="00175780"/>
    <w:rsid w:val="00283A05"/>
    <w:rsid w:val="003B053F"/>
    <w:rsid w:val="004F76B0"/>
    <w:rsid w:val="00512563"/>
    <w:rsid w:val="005708EA"/>
    <w:rsid w:val="008A5020"/>
    <w:rsid w:val="00A86DF7"/>
    <w:rsid w:val="00B459E3"/>
    <w:rsid w:val="00C01E1F"/>
    <w:rsid w:val="00D464DB"/>
    <w:rsid w:val="00E261B7"/>
    <w:rsid w:val="00E5201B"/>
    <w:rsid w:val="00E9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3BDFA"/>
  <w15:chartTrackingRefBased/>
  <w15:docId w15:val="{DA8D8C5A-4343-44C9-BCDA-B69972D5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0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Spencer</dc:creator>
  <cp:keywords/>
  <dc:description/>
  <cp:lastModifiedBy>Beth Spencer</cp:lastModifiedBy>
  <cp:revision>10</cp:revision>
  <dcterms:created xsi:type="dcterms:W3CDTF">2021-04-19T14:28:00Z</dcterms:created>
  <dcterms:modified xsi:type="dcterms:W3CDTF">2021-04-29T19:06:00Z</dcterms:modified>
</cp:coreProperties>
</file>