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28545" w14:textId="7EBEF6E2" w:rsidR="008375CF" w:rsidRDefault="001B57DB">
      <w:pPr>
        <w:spacing w:after="0"/>
        <w:jc w:val="center"/>
        <w:rPr>
          <w:rFonts w:ascii="Arial" w:hAnsi="Arial" w:cs="Arial"/>
          <w:sz w:val="24"/>
          <w:szCs w:val="24"/>
        </w:rPr>
      </w:pPr>
      <w:r>
        <w:rPr>
          <w:rFonts w:ascii="Arial" w:hAnsi="Arial" w:cs="Arial"/>
          <w:sz w:val="24"/>
          <w:szCs w:val="24"/>
        </w:rPr>
        <w:t>HRP-309 | 7/31/202</w:t>
      </w:r>
      <w:r w:rsidR="00FA68D4">
        <w:rPr>
          <w:rFonts w:ascii="Arial" w:hAnsi="Arial" w:cs="Arial"/>
          <w:sz w:val="24"/>
          <w:szCs w:val="24"/>
        </w:rPr>
        <w:t>4</w:t>
      </w:r>
      <w:r>
        <w:rPr>
          <w:rFonts w:ascii="Arial" w:hAnsi="Arial" w:cs="Arial"/>
          <w:sz w:val="28"/>
          <w:szCs w:val="28"/>
        </w:rPr>
        <w:t xml:space="preserve"> </w:t>
      </w:r>
    </w:p>
    <w:p w14:paraId="5D83C924" w14:textId="77777777" w:rsidR="008375CF" w:rsidRDefault="008375CF">
      <w:pPr>
        <w:pStyle w:val="DocumentTitle-HCG"/>
        <w:jc w:val="right"/>
        <w:rPr>
          <w:sz w:val="24"/>
          <w:szCs w:val="24"/>
        </w:rPr>
      </w:pPr>
    </w:p>
    <w:p w14:paraId="1CF07FA7" w14:textId="17B7B427" w:rsidR="008375CF" w:rsidRDefault="001B57DB">
      <w:pPr>
        <w:pStyle w:val="DocumentTitle-HCG"/>
        <w:spacing w:line="360" w:lineRule="auto"/>
      </w:pPr>
      <w:r>
        <w:t>WORKSHEET: Ancillary Review Matrix</w:t>
      </w:r>
    </w:p>
    <w:p w14:paraId="7AE390B3" w14:textId="77777777" w:rsidR="008375CF" w:rsidRDefault="001B57DB">
      <w:pPr>
        <w:pStyle w:val="PrimarySectionText-HCG"/>
        <w:ind w:left="0" w:firstLine="0"/>
        <w:rPr>
          <w:rFonts w:cs="Arial"/>
        </w:rPr>
      </w:pPr>
      <w:r>
        <w:rPr>
          <w:rFonts w:cs="Arial"/>
        </w:rPr>
        <w:t xml:space="preserve">Ancillary reviews are reviews by other compliance groups or individuals that inform the IRB’s review of a new study or a modification to an existing study. </w:t>
      </w:r>
    </w:p>
    <w:p w14:paraId="073312F9" w14:textId="77777777" w:rsidR="008375CF" w:rsidRDefault="001B57DB">
      <w:pPr>
        <w:pStyle w:val="PrimarySectionText-HCG"/>
        <w:numPr>
          <w:ilvl w:val="0"/>
          <w:numId w:val="6"/>
        </w:numPr>
        <w:rPr>
          <w:rFonts w:cs="Arial"/>
        </w:rPr>
      </w:pPr>
      <w:r>
        <w:rPr>
          <w:rFonts w:cs="Arial"/>
        </w:rPr>
        <w:t xml:space="preserve">Ancillary reviews may be assigned by either the researcher or the IRB.  </w:t>
      </w:r>
    </w:p>
    <w:p w14:paraId="4D6B9C52" w14:textId="77777777" w:rsidR="008375CF" w:rsidRDefault="001B57DB">
      <w:pPr>
        <w:pStyle w:val="PrimarySectionText-HCG"/>
        <w:numPr>
          <w:ilvl w:val="0"/>
          <w:numId w:val="6"/>
        </w:numPr>
        <w:rPr>
          <w:rFonts w:cs="Arial"/>
        </w:rPr>
      </w:pPr>
      <w:r>
        <w:rPr>
          <w:rFonts w:cs="Arial"/>
        </w:rPr>
        <w:t xml:space="preserve">The IRB typically assigns ancillary reviews during the pre-review of a submission.  </w:t>
      </w:r>
    </w:p>
    <w:p w14:paraId="3458C2AB" w14:textId="77777777" w:rsidR="008375CF" w:rsidRDefault="001B57DB">
      <w:pPr>
        <w:pStyle w:val="PrimarySectionText-HCG"/>
        <w:numPr>
          <w:ilvl w:val="0"/>
          <w:numId w:val="6"/>
        </w:numPr>
        <w:rPr>
          <w:rFonts w:cs="Arial"/>
        </w:rPr>
      </w:pPr>
      <w:r>
        <w:rPr>
          <w:rFonts w:cs="Arial"/>
        </w:rPr>
        <w:t xml:space="preserve">Once an ancillary review is triggered, researchers should work directly with those entities to ensure compliance. </w:t>
      </w:r>
    </w:p>
    <w:p w14:paraId="4C30DB88" w14:textId="7F124225" w:rsidR="008375CF" w:rsidRPr="001C350F" w:rsidRDefault="001B57DB">
      <w:pPr>
        <w:pStyle w:val="PrimarySectionText-HCG"/>
        <w:numPr>
          <w:ilvl w:val="0"/>
          <w:numId w:val="6"/>
        </w:numPr>
        <w:rPr>
          <w:rFonts w:cs="Arial"/>
        </w:rPr>
      </w:pPr>
      <w:r w:rsidRPr="001C350F">
        <w:rPr>
          <w:rFonts w:cs="Arial"/>
        </w:rPr>
        <w:t xml:space="preserve">The ancillary review in </w:t>
      </w:r>
      <w:r w:rsidR="00FA68D4">
        <w:rPr>
          <w:rFonts w:cs="Arial"/>
        </w:rPr>
        <w:t>Endeavor</w:t>
      </w:r>
      <w:r w:rsidRPr="001C350F">
        <w:rPr>
          <w:rFonts w:cs="Arial"/>
        </w:rPr>
        <w:t xml:space="preserve"> is intended to support compliance across multiple oversight groups and not replace review processes by other compliance groups. </w:t>
      </w:r>
    </w:p>
    <w:p w14:paraId="0962E034" w14:textId="61B2AEB3" w:rsidR="008375CF" w:rsidRDefault="001B57DB">
      <w:pPr>
        <w:pStyle w:val="PrimarySectionText-HCG"/>
        <w:numPr>
          <w:ilvl w:val="0"/>
          <w:numId w:val="6"/>
        </w:numPr>
        <w:rPr>
          <w:rFonts w:cs="Arial"/>
        </w:rPr>
      </w:pPr>
      <w:r>
        <w:rPr>
          <w:rFonts w:cs="Arial"/>
        </w:rPr>
        <w:t>Ancillary reviews are not assigned by the IRB if a project does not meet the federal definition of Human Subject Research.</w:t>
      </w:r>
    </w:p>
    <w:p w14:paraId="313FDEAB" w14:textId="77777777" w:rsidR="008375CF" w:rsidRDefault="008375CF">
      <w:pPr>
        <w:pStyle w:val="PrimarySectionText-HCG"/>
        <w:rPr>
          <w:rFonts w:cs="Arial"/>
        </w:rPr>
      </w:pPr>
    </w:p>
    <w:p w14:paraId="7A4E0D4D" w14:textId="77777777" w:rsidR="008375CF" w:rsidRDefault="001B57DB">
      <w:pPr>
        <w:pStyle w:val="PrimarySectionText-HCG"/>
        <w:rPr>
          <w:rFonts w:cs="Arial"/>
        </w:rPr>
      </w:pPr>
      <w:r>
        <w:rPr>
          <w:rFonts w:cs="Arial"/>
        </w:rPr>
        <w:t xml:space="preserve">The impact of an ancillary review group’s approval on the IRB’s review process varies.  </w:t>
      </w:r>
    </w:p>
    <w:p w14:paraId="1F61323E" w14:textId="77777777" w:rsidR="008375CF" w:rsidRDefault="001B57DB">
      <w:pPr>
        <w:pStyle w:val="PrimarySectionText-HCG"/>
        <w:numPr>
          <w:ilvl w:val="0"/>
          <w:numId w:val="7"/>
        </w:numPr>
        <w:rPr>
          <w:rFonts w:cs="Arial"/>
        </w:rPr>
      </w:pPr>
      <w:r>
        <w:rPr>
          <w:rFonts w:cs="Arial"/>
        </w:rPr>
        <w:t xml:space="preserve">Typically, final IRB approval is held until the ancillary group concludes their review. </w:t>
      </w:r>
    </w:p>
    <w:p w14:paraId="6ED14452" w14:textId="77777777" w:rsidR="008375CF" w:rsidRDefault="001B57DB">
      <w:pPr>
        <w:pStyle w:val="PrimarySectionText-HCG"/>
        <w:numPr>
          <w:ilvl w:val="0"/>
          <w:numId w:val="7"/>
        </w:numPr>
        <w:rPr>
          <w:rFonts w:cs="Arial"/>
        </w:rPr>
      </w:pPr>
      <w:r>
        <w:rPr>
          <w:rFonts w:cs="Arial"/>
        </w:rPr>
        <w:t>In some instances, the IRB will not initiate its review without documentation of approval by critical review entities.</w:t>
      </w:r>
    </w:p>
    <w:p w14:paraId="6D36E8C9" w14:textId="77777777" w:rsidR="008375CF" w:rsidRDefault="001B57DB">
      <w:pPr>
        <w:pStyle w:val="PrimarySectionText-HCG"/>
        <w:numPr>
          <w:ilvl w:val="0"/>
          <w:numId w:val="7"/>
        </w:numPr>
        <w:rPr>
          <w:rFonts w:cs="Arial"/>
        </w:rPr>
      </w:pPr>
      <w:r>
        <w:rPr>
          <w:rFonts w:cs="Arial"/>
        </w:rPr>
        <w:t>The IRB will not hold for the completion of ancillary reviews for studies that meet exempt criteria.</w:t>
      </w:r>
    </w:p>
    <w:p w14:paraId="6E8D4F8B" w14:textId="7A8083FE" w:rsidR="008375CF" w:rsidRPr="001C350F" w:rsidRDefault="001B57DB">
      <w:pPr>
        <w:pStyle w:val="PrimarySectionText-HCG"/>
        <w:numPr>
          <w:ilvl w:val="0"/>
          <w:numId w:val="7"/>
        </w:numPr>
        <w:rPr>
          <w:rFonts w:cs="Arial"/>
        </w:rPr>
      </w:pPr>
      <w:r w:rsidRPr="001C350F">
        <w:rPr>
          <w:rFonts w:cs="Arial"/>
        </w:rPr>
        <w:t xml:space="preserve">Documentation of approval by an ancillary review group is provided to the researcher. The researcher is responsible for uploading that documentation in the “Supporting Documents” section of the </w:t>
      </w:r>
      <w:r w:rsidR="00FA68D4">
        <w:rPr>
          <w:rFonts w:cs="Arial"/>
        </w:rPr>
        <w:t>Endeavor</w:t>
      </w:r>
      <w:r w:rsidRPr="001C350F">
        <w:rPr>
          <w:rFonts w:cs="Arial"/>
        </w:rPr>
        <w:t xml:space="preserve"> application to which it relates.</w:t>
      </w:r>
    </w:p>
    <w:p w14:paraId="3D4F5A08" w14:textId="77D94A37" w:rsidR="008375CF" w:rsidRDefault="001B57DB">
      <w:pPr>
        <w:pStyle w:val="PrimarySectionText-HCG"/>
        <w:numPr>
          <w:ilvl w:val="0"/>
          <w:numId w:val="7"/>
        </w:numPr>
        <w:rPr>
          <w:rFonts w:cs="Arial"/>
        </w:rPr>
      </w:pPr>
      <w:r w:rsidRPr="001C350F">
        <w:rPr>
          <w:rFonts w:cs="Arial"/>
        </w:rPr>
        <w:t xml:space="preserve">In rare instances, either the ancillary review group or an IRB member may request </w:t>
      </w:r>
      <w:r>
        <w:rPr>
          <w:rFonts w:cs="Arial"/>
        </w:rPr>
        <w:t xml:space="preserve">deviations from the typical review path. An IRB member may recommend holding a submission until an ancillary approval is granted from a key committee </w:t>
      </w:r>
      <w:r>
        <w:rPr>
          <w:rFonts w:cs="Arial"/>
          <w:b/>
        </w:rPr>
        <w:t>OR</w:t>
      </w:r>
      <w:r>
        <w:rPr>
          <w:rFonts w:cs="Arial"/>
        </w:rPr>
        <w:t xml:space="preserve"> an ancillary review group may recommend IRB review move forward while a required approval is still pending.</w:t>
      </w:r>
    </w:p>
    <w:p w14:paraId="09AED821" w14:textId="3245DD81" w:rsidR="008375CF" w:rsidRDefault="001B57DB">
      <w:pPr>
        <w:pStyle w:val="PrimarySectionText-HCG"/>
        <w:numPr>
          <w:ilvl w:val="0"/>
          <w:numId w:val="7"/>
        </w:numPr>
        <w:rPr>
          <w:rFonts w:cs="Arial"/>
        </w:rPr>
      </w:pPr>
      <w:r>
        <w:rPr>
          <w:rFonts w:cs="Arial"/>
        </w:rPr>
        <w:t>Ancillary reviews that are required for IRB review/approval are not the same requirements for study activation. Study activation requirements are different and managed by Clinical Research Administration.</w:t>
      </w:r>
    </w:p>
    <w:p w14:paraId="7E1FB436" w14:textId="77777777" w:rsidR="001B57DB" w:rsidRDefault="001B57DB" w:rsidP="001B57DB">
      <w:pPr>
        <w:pStyle w:val="PrimarySectionText-HCG"/>
        <w:ind w:left="360" w:firstLine="0"/>
        <w:rPr>
          <w:rFonts w:cs="Arial"/>
        </w:rPr>
      </w:pPr>
      <w:r>
        <w:rPr>
          <w:rFonts w:cs="Arial"/>
        </w:rPr>
        <w:lastRenderedPageBreak/>
        <w:t>The table below highlights the ancillary review groups available and illustrates the typical impact an ancillary review has on IRB review. Please contact the IRB or relevant ancillary review contacts (listed below) with any questions about the ancillary review process or specific requirements.</w:t>
      </w:r>
      <w:r>
        <w:rPr>
          <w:rStyle w:val="EndnoteReference"/>
          <w:rFonts w:cs="Arial"/>
        </w:rPr>
        <w:endnoteReference w:id="2"/>
      </w:r>
      <w:r>
        <w:rPr>
          <w:rFonts w:cs="Arial"/>
        </w:rPr>
        <w:t xml:space="preserve"> </w:t>
      </w:r>
    </w:p>
    <w:tbl>
      <w:tblPr>
        <w:tblStyle w:val="TableGrid"/>
        <w:tblW w:w="0" w:type="auto"/>
        <w:tblLook w:val="04A0" w:firstRow="1" w:lastRow="0" w:firstColumn="1" w:lastColumn="0" w:noHBand="0" w:noVBand="1"/>
      </w:tblPr>
      <w:tblGrid>
        <w:gridCol w:w="2246"/>
        <w:gridCol w:w="1452"/>
        <w:gridCol w:w="2171"/>
        <w:gridCol w:w="2198"/>
        <w:gridCol w:w="2076"/>
        <w:gridCol w:w="2214"/>
        <w:gridCol w:w="2033"/>
      </w:tblGrid>
      <w:tr w:rsidR="0095732D" w14:paraId="03E970BA" w14:textId="77777777" w:rsidTr="00F96B9A">
        <w:tc>
          <w:tcPr>
            <w:tcW w:w="2246" w:type="dxa"/>
          </w:tcPr>
          <w:p w14:paraId="535FC929" w14:textId="48E37924" w:rsidR="00966941" w:rsidRDefault="001B57DB" w:rsidP="00CB7196">
            <w:pPr>
              <w:rPr>
                <w:rFonts w:ascii="Arial" w:hAnsi="Arial" w:cs="Arial"/>
                <w:b/>
                <w:bCs/>
              </w:rPr>
            </w:pPr>
            <w:r>
              <w:rPr>
                <w:rFonts w:eastAsia="Calibri"/>
              </w:rPr>
              <w:br w:type="page"/>
            </w:r>
            <w:r w:rsidR="00966941">
              <w:rPr>
                <w:rFonts w:ascii="Arial" w:hAnsi="Arial" w:cs="Arial"/>
                <w:b/>
                <w:bCs/>
              </w:rPr>
              <w:t>Organization</w:t>
            </w:r>
          </w:p>
        </w:tc>
        <w:tc>
          <w:tcPr>
            <w:tcW w:w="1452" w:type="dxa"/>
          </w:tcPr>
          <w:p w14:paraId="1CB50BE7" w14:textId="77777777" w:rsidR="00966941" w:rsidRDefault="00966941" w:rsidP="00CB7196">
            <w:pPr>
              <w:rPr>
                <w:rFonts w:ascii="Arial" w:hAnsi="Arial" w:cs="Arial"/>
                <w:b/>
                <w:bCs/>
              </w:rPr>
            </w:pPr>
            <w:r>
              <w:rPr>
                <w:rFonts w:ascii="Arial" w:hAnsi="Arial" w:cs="Arial"/>
                <w:b/>
                <w:bCs/>
              </w:rPr>
              <w:t>Review Type</w:t>
            </w:r>
          </w:p>
        </w:tc>
        <w:tc>
          <w:tcPr>
            <w:tcW w:w="2171" w:type="dxa"/>
          </w:tcPr>
          <w:p w14:paraId="689666DF" w14:textId="77777777" w:rsidR="00966941" w:rsidRDefault="00966941" w:rsidP="00CB7196">
            <w:pPr>
              <w:rPr>
                <w:rFonts w:ascii="Arial" w:hAnsi="Arial" w:cs="Arial"/>
                <w:b/>
                <w:bCs/>
              </w:rPr>
            </w:pPr>
            <w:r>
              <w:rPr>
                <w:rFonts w:ascii="Arial" w:hAnsi="Arial" w:cs="Arial"/>
                <w:b/>
                <w:bCs/>
              </w:rPr>
              <w:t>Ancillary Review Triggered by</w:t>
            </w:r>
          </w:p>
        </w:tc>
        <w:tc>
          <w:tcPr>
            <w:tcW w:w="2198" w:type="dxa"/>
          </w:tcPr>
          <w:p w14:paraId="6CF55D90" w14:textId="77777777" w:rsidR="00966941" w:rsidRDefault="00966941" w:rsidP="00CB7196">
            <w:pPr>
              <w:rPr>
                <w:rFonts w:ascii="Arial" w:hAnsi="Arial" w:cs="Arial"/>
                <w:b/>
                <w:bCs/>
              </w:rPr>
            </w:pPr>
            <w:r>
              <w:rPr>
                <w:rFonts w:ascii="Arial" w:hAnsi="Arial" w:cs="Arial"/>
                <w:b/>
                <w:bCs/>
              </w:rPr>
              <w:t>Affected IRB Submission Types</w:t>
            </w:r>
          </w:p>
        </w:tc>
        <w:tc>
          <w:tcPr>
            <w:tcW w:w="2076" w:type="dxa"/>
          </w:tcPr>
          <w:p w14:paraId="1C135460" w14:textId="77777777" w:rsidR="00966941" w:rsidRDefault="00966941" w:rsidP="00CB7196">
            <w:pPr>
              <w:rPr>
                <w:rFonts w:ascii="Arial" w:hAnsi="Arial" w:cs="Arial"/>
                <w:b/>
                <w:bCs/>
              </w:rPr>
            </w:pPr>
            <w:r>
              <w:rPr>
                <w:rFonts w:ascii="Arial" w:hAnsi="Arial" w:cs="Arial"/>
                <w:b/>
                <w:bCs/>
              </w:rPr>
              <w:t>Contact Info</w:t>
            </w:r>
          </w:p>
        </w:tc>
        <w:tc>
          <w:tcPr>
            <w:tcW w:w="2214" w:type="dxa"/>
          </w:tcPr>
          <w:p w14:paraId="2C98B27B" w14:textId="77777777" w:rsidR="00966941" w:rsidRDefault="00966941" w:rsidP="00CB7196">
            <w:pPr>
              <w:rPr>
                <w:rFonts w:ascii="Arial" w:hAnsi="Arial" w:cs="Arial"/>
                <w:b/>
                <w:bCs/>
              </w:rPr>
            </w:pPr>
            <w:r>
              <w:rPr>
                <w:rFonts w:ascii="Arial" w:hAnsi="Arial" w:cs="Arial"/>
                <w:b/>
                <w:bCs/>
              </w:rPr>
              <w:t>How to Obtain Review</w:t>
            </w:r>
          </w:p>
        </w:tc>
        <w:tc>
          <w:tcPr>
            <w:tcW w:w="2033" w:type="dxa"/>
          </w:tcPr>
          <w:p w14:paraId="7903D6B9" w14:textId="77777777" w:rsidR="00966941" w:rsidRDefault="00966941" w:rsidP="00CB7196">
            <w:pPr>
              <w:rPr>
                <w:rFonts w:ascii="Arial" w:hAnsi="Arial" w:cs="Arial"/>
                <w:b/>
                <w:bCs/>
              </w:rPr>
            </w:pPr>
            <w:r>
              <w:rPr>
                <w:rFonts w:ascii="Arial" w:hAnsi="Arial" w:cs="Arial"/>
                <w:b/>
                <w:bCs/>
              </w:rPr>
              <w:t>Impact on IRB Review</w:t>
            </w:r>
          </w:p>
          <w:p w14:paraId="23516055" w14:textId="77777777" w:rsidR="00966941" w:rsidRPr="00CB7196" w:rsidRDefault="00966941" w:rsidP="00CB7196">
            <w:pPr>
              <w:rPr>
                <w:rFonts w:ascii="Arial" w:hAnsi="Arial" w:cs="Arial"/>
              </w:rPr>
            </w:pPr>
            <w:r w:rsidRPr="00CB7196">
              <w:rPr>
                <w:rFonts w:ascii="Arial" w:hAnsi="Arial" w:cs="Arial"/>
              </w:rPr>
              <w:t>(</w:t>
            </w:r>
            <w:r>
              <w:rPr>
                <w:rFonts w:ascii="Arial" w:hAnsi="Arial" w:cs="Arial"/>
              </w:rPr>
              <w:t>prior to, after, or parallel with)</w:t>
            </w:r>
          </w:p>
        </w:tc>
      </w:tr>
      <w:tr w:rsidR="0095732D" w14:paraId="50F9DE51" w14:textId="77777777" w:rsidTr="00F96B9A">
        <w:tc>
          <w:tcPr>
            <w:tcW w:w="2246" w:type="dxa"/>
          </w:tcPr>
          <w:p w14:paraId="2D964CDD" w14:textId="4FDBB82A" w:rsidR="0095732D" w:rsidRDefault="0095732D" w:rsidP="0095732D">
            <w:pPr>
              <w:rPr>
                <w:rFonts w:ascii="Arial" w:hAnsi="Arial" w:cs="Arial"/>
                <w:i/>
                <w:iCs/>
              </w:rPr>
            </w:pPr>
            <w:r w:rsidRPr="0095732D">
              <w:rPr>
                <w:rFonts w:ascii="Arial" w:hAnsi="Arial" w:cs="Arial"/>
              </w:rPr>
              <w:t>Department Head/Chair</w:t>
            </w:r>
          </w:p>
        </w:tc>
        <w:tc>
          <w:tcPr>
            <w:tcW w:w="1452" w:type="dxa"/>
          </w:tcPr>
          <w:p w14:paraId="7A0F8416" w14:textId="19AC0017" w:rsidR="0095732D" w:rsidRDefault="0095732D" w:rsidP="0095732D">
            <w:pPr>
              <w:rPr>
                <w:rFonts w:ascii="Arial" w:hAnsi="Arial" w:cs="Arial"/>
              </w:rPr>
            </w:pPr>
            <w:r>
              <w:rPr>
                <w:rFonts w:ascii="Arial" w:hAnsi="Arial" w:cs="Arial"/>
              </w:rPr>
              <w:t>Ancillary - Mandatory</w:t>
            </w:r>
          </w:p>
        </w:tc>
        <w:tc>
          <w:tcPr>
            <w:tcW w:w="2171" w:type="dxa"/>
          </w:tcPr>
          <w:p w14:paraId="404B3CF9" w14:textId="768C35A3" w:rsidR="0095732D" w:rsidRDefault="0095732D" w:rsidP="0095732D">
            <w:pPr>
              <w:rPr>
                <w:rFonts w:ascii="Arial" w:hAnsi="Arial" w:cs="Arial"/>
              </w:rPr>
            </w:pPr>
            <w:r>
              <w:rPr>
                <w:rFonts w:ascii="Arial" w:hAnsi="Arial" w:cs="Arial"/>
              </w:rPr>
              <w:t xml:space="preserve">Mandatory for all protocols </w:t>
            </w:r>
          </w:p>
        </w:tc>
        <w:tc>
          <w:tcPr>
            <w:tcW w:w="2198" w:type="dxa"/>
          </w:tcPr>
          <w:p w14:paraId="216EF566" w14:textId="7BF2B2C2" w:rsidR="0095732D" w:rsidRDefault="0095732D" w:rsidP="0095732D">
            <w:pPr>
              <w:rPr>
                <w:rFonts w:ascii="Arial" w:hAnsi="Arial" w:cs="Arial"/>
              </w:rPr>
            </w:pPr>
            <w:r>
              <w:rPr>
                <w:rFonts w:ascii="Arial" w:hAnsi="Arial" w:cs="Arial"/>
              </w:rPr>
              <w:t>All new protocol submissions</w:t>
            </w:r>
          </w:p>
        </w:tc>
        <w:tc>
          <w:tcPr>
            <w:tcW w:w="2076" w:type="dxa"/>
          </w:tcPr>
          <w:p w14:paraId="38C914D5" w14:textId="28C0C91E" w:rsidR="0095732D" w:rsidRDefault="0095732D" w:rsidP="0095732D">
            <w:pPr>
              <w:rPr>
                <w:rFonts w:ascii="Arial" w:hAnsi="Arial" w:cs="Arial"/>
              </w:rPr>
            </w:pPr>
            <w:r>
              <w:rPr>
                <w:rFonts w:ascii="Arial" w:hAnsi="Arial" w:cs="Arial"/>
              </w:rPr>
              <w:t>Various</w:t>
            </w:r>
          </w:p>
        </w:tc>
        <w:tc>
          <w:tcPr>
            <w:tcW w:w="2214" w:type="dxa"/>
          </w:tcPr>
          <w:p w14:paraId="153113DC" w14:textId="06F05B7E" w:rsidR="0095732D" w:rsidRDefault="0095732D" w:rsidP="0095732D">
            <w:pPr>
              <w:rPr>
                <w:rFonts w:ascii="Arial" w:hAnsi="Arial" w:cs="Arial"/>
              </w:rPr>
            </w:pPr>
            <w:r>
              <w:rPr>
                <w:rFonts w:ascii="Arial" w:hAnsi="Arial" w:cs="Arial"/>
              </w:rPr>
              <w:t>Assign ancillary review during intake</w:t>
            </w:r>
          </w:p>
        </w:tc>
        <w:tc>
          <w:tcPr>
            <w:tcW w:w="2033" w:type="dxa"/>
          </w:tcPr>
          <w:p w14:paraId="16D3A8A7" w14:textId="4DF2B136" w:rsidR="0095732D" w:rsidRDefault="0095732D" w:rsidP="0095732D">
            <w:pPr>
              <w:rPr>
                <w:rFonts w:ascii="Arial" w:hAnsi="Arial" w:cs="Arial"/>
              </w:rPr>
            </w:pPr>
            <w:r>
              <w:rPr>
                <w:rFonts w:ascii="Arial" w:hAnsi="Arial" w:cs="Arial"/>
              </w:rPr>
              <w:t>Prior to</w:t>
            </w:r>
          </w:p>
        </w:tc>
      </w:tr>
      <w:tr w:rsidR="0095732D" w14:paraId="593E798C" w14:textId="77777777" w:rsidTr="00F96B9A">
        <w:tc>
          <w:tcPr>
            <w:tcW w:w="2246" w:type="dxa"/>
          </w:tcPr>
          <w:p w14:paraId="1CD2A67D" w14:textId="7285468C" w:rsidR="0095732D" w:rsidRDefault="0095732D" w:rsidP="0095732D">
            <w:pPr>
              <w:rPr>
                <w:rFonts w:ascii="Arial" w:hAnsi="Arial" w:cs="Arial"/>
              </w:rPr>
            </w:pPr>
            <w:r>
              <w:rPr>
                <w:rFonts w:ascii="Arial" w:hAnsi="Arial" w:cs="Arial"/>
              </w:rPr>
              <w:t>Certificate of Confidentiality</w:t>
            </w:r>
          </w:p>
        </w:tc>
        <w:tc>
          <w:tcPr>
            <w:tcW w:w="1452" w:type="dxa"/>
          </w:tcPr>
          <w:p w14:paraId="5849D3D0" w14:textId="7DF05235" w:rsidR="0095732D" w:rsidRDefault="0095732D" w:rsidP="0095732D">
            <w:pPr>
              <w:rPr>
                <w:rFonts w:ascii="Arial" w:hAnsi="Arial" w:cs="Arial"/>
              </w:rPr>
            </w:pPr>
            <w:r>
              <w:rPr>
                <w:rFonts w:ascii="Arial" w:hAnsi="Arial" w:cs="Arial"/>
              </w:rPr>
              <w:t>Ancillary</w:t>
            </w:r>
          </w:p>
        </w:tc>
        <w:tc>
          <w:tcPr>
            <w:tcW w:w="2171" w:type="dxa"/>
          </w:tcPr>
          <w:p w14:paraId="234FBA91" w14:textId="078EA415" w:rsidR="0095732D" w:rsidRDefault="0095732D" w:rsidP="0095732D">
            <w:pPr>
              <w:rPr>
                <w:rFonts w:ascii="Arial" w:hAnsi="Arial" w:cs="Arial"/>
              </w:rPr>
            </w:pPr>
            <w:r>
              <w:rPr>
                <w:rFonts w:ascii="Arial" w:hAnsi="Arial" w:cs="Arial"/>
              </w:rPr>
              <w:t>Protocols that require a Certificate of Confidentiality</w:t>
            </w:r>
          </w:p>
        </w:tc>
        <w:tc>
          <w:tcPr>
            <w:tcW w:w="2198" w:type="dxa"/>
          </w:tcPr>
          <w:p w14:paraId="44B504A6" w14:textId="0639719B" w:rsidR="0095732D" w:rsidRDefault="0095732D" w:rsidP="0095732D">
            <w:pPr>
              <w:rPr>
                <w:rFonts w:ascii="Arial" w:hAnsi="Arial" w:cs="Arial"/>
              </w:rPr>
            </w:pPr>
            <w:r>
              <w:rPr>
                <w:rFonts w:ascii="Arial" w:hAnsi="Arial" w:cs="Arial"/>
              </w:rPr>
              <w:t>Protocols that require a Certificate of Confidentiality</w:t>
            </w:r>
          </w:p>
        </w:tc>
        <w:tc>
          <w:tcPr>
            <w:tcW w:w="2076" w:type="dxa"/>
          </w:tcPr>
          <w:p w14:paraId="6F802214" w14:textId="64C7EEB8" w:rsidR="0095732D" w:rsidRDefault="0095732D" w:rsidP="0095732D">
            <w:pPr>
              <w:rPr>
                <w:rFonts w:ascii="Arial" w:hAnsi="Arial" w:cs="Arial"/>
              </w:rPr>
            </w:pPr>
            <w:r>
              <w:rPr>
                <w:rFonts w:ascii="Arial" w:hAnsi="Arial" w:cs="Arial"/>
              </w:rPr>
              <w:t>Niki Johnson</w:t>
            </w:r>
          </w:p>
        </w:tc>
        <w:tc>
          <w:tcPr>
            <w:tcW w:w="2214" w:type="dxa"/>
          </w:tcPr>
          <w:p w14:paraId="21A847F0" w14:textId="651DF783" w:rsidR="0095732D" w:rsidRDefault="0095732D" w:rsidP="0095732D">
            <w:pPr>
              <w:rPr>
                <w:rFonts w:ascii="Arial" w:hAnsi="Arial" w:cs="Arial"/>
              </w:rPr>
            </w:pPr>
            <w:r>
              <w:rPr>
                <w:rFonts w:ascii="Arial" w:hAnsi="Arial" w:cs="Arial"/>
              </w:rPr>
              <w:t>Assign ancillary review during intake</w:t>
            </w:r>
          </w:p>
        </w:tc>
        <w:tc>
          <w:tcPr>
            <w:tcW w:w="2033" w:type="dxa"/>
          </w:tcPr>
          <w:p w14:paraId="4FDC809A" w14:textId="49AD414B" w:rsidR="0095732D" w:rsidRDefault="0095732D" w:rsidP="0095732D">
            <w:pPr>
              <w:rPr>
                <w:rFonts w:ascii="Arial" w:hAnsi="Arial" w:cs="Arial"/>
              </w:rPr>
            </w:pPr>
            <w:r>
              <w:rPr>
                <w:rFonts w:ascii="Arial" w:hAnsi="Arial" w:cs="Arial"/>
              </w:rPr>
              <w:t>In parallel</w:t>
            </w:r>
          </w:p>
        </w:tc>
      </w:tr>
      <w:tr w:rsidR="0095732D" w14:paraId="26678DF5" w14:textId="77777777" w:rsidTr="00F96B9A">
        <w:tc>
          <w:tcPr>
            <w:tcW w:w="2246" w:type="dxa"/>
          </w:tcPr>
          <w:p w14:paraId="2781DB5C" w14:textId="1657853C" w:rsidR="0095732D" w:rsidRDefault="0095732D" w:rsidP="0095732D">
            <w:pPr>
              <w:rPr>
                <w:rFonts w:ascii="Arial" w:hAnsi="Arial" w:cs="Arial"/>
              </w:rPr>
            </w:pPr>
            <w:r>
              <w:rPr>
                <w:rFonts w:ascii="Arial" w:hAnsi="Arial" w:cs="Arial"/>
              </w:rPr>
              <w:t>MRI Safety Advisory Council</w:t>
            </w:r>
          </w:p>
        </w:tc>
        <w:tc>
          <w:tcPr>
            <w:tcW w:w="1452" w:type="dxa"/>
          </w:tcPr>
          <w:p w14:paraId="3BC91F88" w14:textId="52796161" w:rsidR="0095732D" w:rsidRDefault="0095732D" w:rsidP="0095732D">
            <w:pPr>
              <w:rPr>
                <w:rFonts w:ascii="Arial" w:hAnsi="Arial" w:cs="Arial"/>
              </w:rPr>
            </w:pPr>
            <w:r>
              <w:rPr>
                <w:rFonts w:ascii="Arial" w:hAnsi="Arial" w:cs="Arial"/>
              </w:rPr>
              <w:t>Ancillary</w:t>
            </w:r>
          </w:p>
        </w:tc>
        <w:tc>
          <w:tcPr>
            <w:tcW w:w="2171" w:type="dxa"/>
          </w:tcPr>
          <w:p w14:paraId="2DCB6658" w14:textId="3307CB66" w:rsidR="0095732D" w:rsidRDefault="0095732D" w:rsidP="0095732D">
            <w:pPr>
              <w:rPr>
                <w:rFonts w:ascii="Arial" w:hAnsi="Arial" w:cs="Arial"/>
              </w:rPr>
            </w:pPr>
            <w:r>
              <w:rPr>
                <w:rFonts w:ascii="Arial" w:hAnsi="Arial" w:cs="Arial"/>
              </w:rPr>
              <w:t>Protocols that involve magnetic resonance imaging (MRI)</w:t>
            </w:r>
          </w:p>
        </w:tc>
        <w:tc>
          <w:tcPr>
            <w:tcW w:w="2198" w:type="dxa"/>
          </w:tcPr>
          <w:p w14:paraId="6F2211D0" w14:textId="00D640AD" w:rsidR="0095732D" w:rsidRDefault="0095732D" w:rsidP="0095732D">
            <w:pPr>
              <w:rPr>
                <w:rFonts w:ascii="Arial" w:hAnsi="Arial" w:cs="Arial"/>
              </w:rPr>
            </w:pPr>
            <w:r>
              <w:rPr>
                <w:rFonts w:ascii="Arial" w:hAnsi="Arial" w:cs="Arial"/>
              </w:rPr>
              <w:t>Protocols that involve magnetic resonance imaging (MRI)</w:t>
            </w:r>
          </w:p>
        </w:tc>
        <w:tc>
          <w:tcPr>
            <w:tcW w:w="2076" w:type="dxa"/>
          </w:tcPr>
          <w:p w14:paraId="09123C39" w14:textId="53A1DECF" w:rsidR="0095732D" w:rsidRDefault="0095732D" w:rsidP="0095732D">
            <w:pPr>
              <w:rPr>
                <w:rFonts w:ascii="Arial" w:hAnsi="Arial" w:cs="Arial"/>
              </w:rPr>
            </w:pPr>
            <w:r>
              <w:rPr>
                <w:rFonts w:ascii="Arial" w:hAnsi="Arial" w:cs="Arial"/>
              </w:rPr>
              <w:t>Tom Denney, Ph.D. &amp; Ron Beyers, Ph.D.</w:t>
            </w:r>
          </w:p>
        </w:tc>
        <w:tc>
          <w:tcPr>
            <w:tcW w:w="2214" w:type="dxa"/>
          </w:tcPr>
          <w:p w14:paraId="1B9CFA4D" w14:textId="769BCE8E" w:rsidR="0095732D" w:rsidRDefault="0095732D" w:rsidP="0095732D">
            <w:pPr>
              <w:rPr>
                <w:rFonts w:ascii="Arial" w:hAnsi="Arial" w:cs="Arial"/>
              </w:rPr>
            </w:pPr>
            <w:r>
              <w:rPr>
                <w:rFonts w:ascii="Arial" w:hAnsi="Arial" w:cs="Arial"/>
              </w:rPr>
              <w:t>Assign ancillary review during intake</w:t>
            </w:r>
          </w:p>
        </w:tc>
        <w:tc>
          <w:tcPr>
            <w:tcW w:w="2033" w:type="dxa"/>
          </w:tcPr>
          <w:p w14:paraId="703B1A29" w14:textId="2920CF87" w:rsidR="0095732D" w:rsidRDefault="0095732D" w:rsidP="0095732D">
            <w:pPr>
              <w:rPr>
                <w:rFonts w:ascii="Arial" w:hAnsi="Arial" w:cs="Arial"/>
              </w:rPr>
            </w:pPr>
            <w:r>
              <w:rPr>
                <w:rFonts w:ascii="Arial" w:hAnsi="Arial" w:cs="Arial"/>
              </w:rPr>
              <w:t>In parallel</w:t>
            </w:r>
          </w:p>
        </w:tc>
      </w:tr>
      <w:tr w:rsidR="0095732D" w14:paraId="3412FC24" w14:textId="77777777" w:rsidTr="00F96B9A">
        <w:tc>
          <w:tcPr>
            <w:tcW w:w="2246" w:type="dxa"/>
          </w:tcPr>
          <w:p w14:paraId="14569598" w14:textId="1B735A9E" w:rsidR="0095732D" w:rsidRDefault="0095732D" w:rsidP="0095732D">
            <w:pPr>
              <w:rPr>
                <w:rFonts w:ascii="Arial" w:hAnsi="Arial" w:cs="Arial"/>
              </w:rPr>
            </w:pPr>
            <w:r>
              <w:rPr>
                <w:rFonts w:ascii="Arial" w:hAnsi="Arial" w:cs="Arial"/>
              </w:rPr>
              <w:t>Institutional Biosafety Committee</w:t>
            </w:r>
          </w:p>
        </w:tc>
        <w:tc>
          <w:tcPr>
            <w:tcW w:w="1452" w:type="dxa"/>
          </w:tcPr>
          <w:p w14:paraId="58B5AAFB" w14:textId="396055EC" w:rsidR="0095732D" w:rsidRDefault="0095732D" w:rsidP="0095732D">
            <w:pPr>
              <w:rPr>
                <w:rFonts w:ascii="Arial" w:hAnsi="Arial" w:cs="Arial"/>
              </w:rPr>
            </w:pPr>
            <w:r>
              <w:rPr>
                <w:rFonts w:ascii="Arial" w:hAnsi="Arial" w:cs="Arial"/>
              </w:rPr>
              <w:t>Ancillary</w:t>
            </w:r>
          </w:p>
        </w:tc>
        <w:tc>
          <w:tcPr>
            <w:tcW w:w="2171" w:type="dxa"/>
          </w:tcPr>
          <w:p w14:paraId="4C6D32F4" w14:textId="10FD7C25" w:rsidR="0095732D" w:rsidRDefault="0095732D" w:rsidP="0095732D">
            <w:pPr>
              <w:rPr>
                <w:rFonts w:ascii="Arial" w:hAnsi="Arial" w:cs="Arial"/>
              </w:rPr>
            </w:pPr>
            <w:r>
              <w:rPr>
                <w:rFonts w:ascii="Arial" w:hAnsi="Arial" w:cs="Arial"/>
              </w:rPr>
              <w:t>Protocols that involve biospecimens, or involve other risks and safety concerns outside the scope of the IRB’s expertise, or mandated by the state (i.e., radiation)</w:t>
            </w:r>
          </w:p>
        </w:tc>
        <w:tc>
          <w:tcPr>
            <w:tcW w:w="2198" w:type="dxa"/>
          </w:tcPr>
          <w:p w14:paraId="14489754" w14:textId="0E72BF73" w:rsidR="0095732D" w:rsidRDefault="0095732D" w:rsidP="0095732D">
            <w:pPr>
              <w:rPr>
                <w:rFonts w:ascii="Arial" w:hAnsi="Arial" w:cs="Arial"/>
              </w:rPr>
            </w:pPr>
            <w:r>
              <w:rPr>
                <w:rFonts w:ascii="Arial" w:hAnsi="Arial" w:cs="Arial"/>
              </w:rPr>
              <w:t>Protocols involving biological specimens or radiation exposure (or other risks outside the IRB’s expertise)</w:t>
            </w:r>
          </w:p>
        </w:tc>
        <w:tc>
          <w:tcPr>
            <w:tcW w:w="2076" w:type="dxa"/>
          </w:tcPr>
          <w:p w14:paraId="3FE23F71" w14:textId="78DD5A4B" w:rsidR="0095732D" w:rsidRDefault="0095732D" w:rsidP="0095732D">
            <w:pPr>
              <w:rPr>
                <w:rFonts w:ascii="Arial" w:hAnsi="Arial" w:cs="Arial"/>
              </w:rPr>
            </w:pPr>
            <w:r>
              <w:rPr>
                <w:rFonts w:ascii="Arial" w:hAnsi="Arial" w:cs="Arial"/>
              </w:rPr>
              <w:t>David Acker</w:t>
            </w:r>
          </w:p>
        </w:tc>
        <w:tc>
          <w:tcPr>
            <w:tcW w:w="2214" w:type="dxa"/>
          </w:tcPr>
          <w:p w14:paraId="65A8A84B" w14:textId="7BC7F043" w:rsidR="0095732D" w:rsidRDefault="0095732D" w:rsidP="0095732D">
            <w:pPr>
              <w:rPr>
                <w:rFonts w:ascii="Arial" w:hAnsi="Arial" w:cs="Arial"/>
              </w:rPr>
            </w:pPr>
            <w:r>
              <w:rPr>
                <w:rFonts w:ascii="Arial" w:hAnsi="Arial" w:cs="Arial"/>
              </w:rPr>
              <w:t>Assign ancillary review during intake</w:t>
            </w:r>
          </w:p>
        </w:tc>
        <w:tc>
          <w:tcPr>
            <w:tcW w:w="2033" w:type="dxa"/>
          </w:tcPr>
          <w:p w14:paraId="124D21B6" w14:textId="114C179E" w:rsidR="0095732D" w:rsidRDefault="0095732D" w:rsidP="0095732D">
            <w:pPr>
              <w:rPr>
                <w:rFonts w:ascii="Arial" w:hAnsi="Arial" w:cs="Arial"/>
              </w:rPr>
            </w:pPr>
            <w:r>
              <w:rPr>
                <w:rFonts w:ascii="Arial" w:hAnsi="Arial" w:cs="Arial"/>
              </w:rPr>
              <w:t>After approval for those requiring Alabama Department of Public Health approval (i.e., protocols involving radiation exposure); in parallel for all others</w:t>
            </w:r>
          </w:p>
        </w:tc>
      </w:tr>
    </w:tbl>
    <w:p w14:paraId="7078B7D6" w14:textId="3776AC6F" w:rsidR="008375CF" w:rsidRDefault="008375CF">
      <w:pPr>
        <w:pStyle w:val="DocumentTitle-HCG"/>
        <w:jc w:val="left"/>
        <w:rPr>
          <w:rFonts w:eastAsia="Calibri"/>
          <w:sz w:val="22"/>
          <w:szCs w:val="22"/>
        </w:rPr>
      </w:pPr>
    </w:p>
    <w:sectPr w:rsidR="008375CF">
      <w:headerReference w:type="even" r:id="rId13"/>
      <w:headerReference w:type="default" r:id="rId14"/>
      <w:footerReference w:type="even" r:id="rId15"/>
      <w:footerReference w:type="default" r:id="rId16"/>
      <w:headerReference w:type="first" r:id="rId17"/>
      <w:footerReference w:type="first" r:id="rId18"/>
      <w:type w:val="continuous"/>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A49AA" w14:textId="77777777" w:rsidR="00E631D5" w:rsidRDefault="00E631D5" w:rsidP="00855EE6">
      <w:pPr>
        <w:spacing w:after="0" w:line="240" w:lineRule="auto"/>
      </w:pPr>
      <w:r>
        <w:separator/>
      </w:r>
    </w:p>
  </w:endnote>
  <w:endnote w:type="continuationSeparator" w:id="0">
    <w:p w14:paraId="77DFC114" w14:textId="77777777" w:rsidR="00E631D5" w:rsidRDefault="00E631D5" w:rsidP="00855EE6">
      <w:pPr>
        <w:spacing w:after="0" w:line="240" w:lineRule="auto"/>
      </w:pPr>
      <w:r>
        <w:continuationSeparator/>
      </w:r>
    </w:p>
  </w:endnote>
  <w:endnote w:type="continuationNotice" w:id="1">
    <w:p w14:paraId="1FD9EEFF" w14:textId="77777777" w:rsidR="00E631D5" w:rsidRDefault="00E631D5">
      <w:pPr>
        <w:spacing w:after="0" w:line="240" w:lineRule="auto"/>
      </w:pPr>
    </w:p>
  </w:endnote>
  <w:endnote w:id="2">
    <w:p w14:paraId="21517CA5" w14:textId="77777777" w:rsidR="001B57DB" w:rsidRDefault="001B57DB" w:rsidP="001B57DB">
      <w:pPr>
        <w:pStyle w:val="EndnoteText"/>
      </w:pPr>
      <w:r>
        <w:rPr>
          <w:rStyle w:val="EndnoteReference"/>
        </w:rPr>
        <w:endnoteRef/>
      </w:r>
      <w:r>
        <w:t xml:space="preserve"> If the requirement for an ancillary review differs for studies relying on an external IRB, indicate the differences in this table.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A1BFA" w14:textId="77777777" w:rsidR="00726D4C" w:rsidRDefault="00726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CF71" w14:textId="77777777" w:rsidR="008375CF" w:rsidRDefault="001B57D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0873CD1A" w14:textId="18138F8C" w:rsidR="008375CF" w:rsidRDefault="008375C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346E" w14:textId="77777777" w:rsidR="008375CF" w:rsidRDefault="001B57D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8F36107" w14:textId="0F852A37" w:rsidR="008375CF" w:rsidRDefault="008375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DD07E" w14:textId="77777777" w:rsidR="00E631D5" w:rsidRDefault="00E631D5" w:rsidP="00855EE6">
      <w:pPr>
        <w:spacing w:after="0" w:line="240" w:lineRule="auto"/>
      </w:pPr>
      <w:r>
        <w:separator/>
      </w:r>
    </w:p>
  </w:footnote>
  <w:footnote w:type="continuationSeparator" w:id="0">
    <w:p w14:paraId="44B8E367" w14:textId="77777777" w:rsidR="00E631D5" w:rsidRDefault="00E631D5" w:rsidP="00855EE6">
      <w:pPr>
        <w:spacing w:after="0" w:line="240" w:lineRule="auto"/>
      </w:pPr>
      <w:r>
        <w:continuationSeparator/>
      </w:r>
    </w:p>
  </w:footnote>
  <w:footnote w:type="continuationNotice" w:id="1">
    <w:p w14:paraId="79A98D7F" w14:textId="77777777" w:rsidR="00E631D5" w:rsidRDefault="00E631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F010B" w14:textId="77777777" w:rsidR="00726D4C" w:rsidRDefault="00726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B010A" w14:textId="1D2DAC0C" w:rsidR="008375CF" w:rsidRDefault="008375CF">
    <w:pPr>
      <w:pStyle w:val="Header"/>
      <w:jc w:val="center"/>
      <w:rPr>
        <w:rFonts w:ascii="Arial" w:hAnsi="Arial" w:cs="Arial"/>
        <w:sz w:val="24"/>
        <w:szCs w:val="24"/>
      </w:rPr>
    </w:pPr>
  </w:p>
  <w:p w14:paraId="29B48DAF" w14:textId="77777777" w:rsidR="008375CF" w:rsidRDefault="008375CF">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E02B6" w14:textId="6007CD68" w:rsidR="008375CF" w:rsidRDefault="00726D4C">
    <w:pPr>
      <w:pStyle w:val="Header"/>
      <w:jc w:val="center"/>
    </w:pPr>
    <w:r>
      <w:rPr>
        <w:noProof/>
      </w:rPr>
      <w:drawing>
        <wp:inline distT="0" distB="0" distL="0" distR="0" wp14:anchorId="265FFCDA" wp14:editId="4B740A84">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76FF1"/>
    <w:multiLevelType w:val="hybridMultilevel"/>
    <w:tmpl w:val="8E58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A4B42"/>
    <w:multiLevelType w:val="hybridMultilevel"/>
    <w:tmpl w:val="E960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4A393C"/>
    <w:multiLevelType w:val="hybridMultilevel"/>
    <w:tmpl w:val="D5D2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F74F59"/>
    <w:multiLevelType w:val="hybridMultilevel"/>
    <w:tmpl w:val="31EA5C6C"/>
    <w:lvl w:ilvl="0" w:tplc="04090001">
      <w:start w:val="1"/>
      <w:numFmt w:val="bullet"/>
      <w:lvlText w:val=""/>
      <w:lvlJc w:val="left"/>
      <w:pPr>
        <w:ind w:left="720" w:hanging="360"/>
      </w:pPr>
      <w:rPr>
        <w:rFonts w:ascii="Symbol" w:hAnsi="Symbol" w:hint="default"/>
      </w:rPr>
    </w:lvl>
    <w:lvl w:ilvl="1" w:tplc="3822F238">
      <w:numFmt w:val="bullet"/>
      <w:lvlText w:val="•"/>
      <w:lvlJc w:val="left"/>
      <w:pPr>
        <w:ind w:left="1440" w:hanging="360"/>
      </w:pPr>
      <w:rPr>
        <w:rFonts w:ascii="Arial" w:eastAsia="Calibri" w:hAnsi="Arial" w:cs="Aria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3"/>
  </w:num>
  <w:num w:numId="2" w16cid:durableId="506023898">
    <w:abstractNumId w:val="6"/>
  </w:num>
  <w:num w:numId="3" w16cid:durableId="479153856">
    <w:abstractNumId w:val="0"/>
  </w:num>
  <w:num w:numId="4" w16cid:durableId="902761009">
    <w:abstractNumId w:val="5"/>
  </w:num>
  <w:num w:numId="5" w16cid:durableId="430511673">
    <w:abstractNumId w:val="1"/>
  </w:num>
  <w:num w:numId="6" w16cid:durableId="1820879103">
    <w:abstractNumId w:val="4"/>
  </w:num>
  <w:num w:numId="7" w16cid:durableId="905257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51898"/>
    <w:rsid w:val="00063436"/>
    <w:rsid w:val="00073852"/>
    <w:rsid w:val="0007512F"/>
    <w:rsid w:val="00082A43"/>
    <w:rsid w:val="00082AFF"/>
    <w:rsid w:val="000908DD"/>
    <w:rsid w:val="00095BC7"/>
    <w:rsid w:val="000E220B"/>
    <w:rsid w:val="000F41CA"/>
    <w:rsid w:val="000F5F1B"/>
    <w:rsid w:val="00107F49"/>
    <w:rsid w:val="00112F1A"/>
    <w:rsid w:val="00150F7C"/>
    <w:rsid w:val="00170F88"/>
    <w:rsid w:val="001B37AF"/>
    <w:rsid w:val="001B57DB"/>
    <w:rsid w:val="001C350F"/>
    <w:rsid w:val="001C5CD8"/>
    <w:rsid w:val="001C68FC"/>
    <w:rsid w:val="001D6859"/>
    <w:rsid w:val="001E6EA8"/>
    <w:rsid w:val="001F5F89"/>
    <w:rsid w:val="001F6AEF"/>
    <w:rsid w:val="00212DD9"/>
    <w:rsid w:val="00216912"/>
    <w:rsid w:val="0023647E"/>
    <w:rsid w:val="0024381C"/>
    <w:rsid w:val="00272E9B"/>
    <w:rsid w:val="002976CB"/>
    <w:rsid w:val="002A0DD4"/>
    <w:rsid w:val="002B5CF2"/>
    <w:rsid w:val="002B681F"/>
    <w:rsid w:val="002D64DA"/>
    <w:rsid w:val="00326970"/>
    <w:rsid w:val="00336905"/>
    <w:rsid w:val="0035722D"/>
    <w:rsid w:val="003B7F38"/>
    <w:rsid w:val="003E5AE2"/>
    <w:rsid w:val="003F727A"/>
    <w:rsid w:val="00413B76"/>
    <w:rsid w:val="00420ABF"/>
    <w:rsid w:val="00433C87"/>
    <w:rsid w:val="00464FA9"/>
    <w:rsid w:val="004B05DE"/>
    <w:rsid w:val="004B15E4"/>
    <w:rsid w:val="0050120D"/>
    <w:rsid w:val="00512CDD"/>
    <w:rsid w:val="00534ECB"/>
    <w:rsid w:val="00555522"/>
    <w:rsid w:val="00574247"/>
    <w:rsid w:val="0058236F"/>
    <w:rsid w:val="00594A69"/>
    <w:rsid w:val="005B76D3"/>
    <w:rsid w:val="00612FDA"/>
    <w:rsid w:val="0062282F"/>
    <w:rsid w:val="00625EFE"/>
    <w:rsid w:val="00636276"/>
    <w:rsid w:val="00650A58"/>
    <w:rsid w:val="0065577B"/>
    <w:rsid w:val="00675EB8"/>
    <w:rsid w:val="0069057F"/>
    <w:rsid w:val="006C3173"/>
    <w:rsid w:val="006D056E"/>
    <w:rsid w:val="006E754F"/>
    <w:rsid w:val="006F23D2"/>
    <w:rsid w:val="00724781"/>
    <w:rsid w:val="00726D4C"/>
    <w:rsid w:val="007469E0"/>
    <w:rsid w:val="007516B1"/>
    <w:rsid w:val="007912B3"/>
    <w:rsid w:val="007B6E13"/>
    <w:rsid w:val="00821C23"/>
    <w:rsid w:val="0083413E"/>
    <w:rsid w:val="008375CF"/>
    <w:rsid w:val="0084152D"/>
    <w:rsid w:val="008424AD"/>
    <w:rsid w:val="00855EE6"/>
    <w:rsid w:val="0086083E"/>
    <w:rsid w:val="00872DA6"/>
    <w:rsid w:val="00893D51"/>
    <w:rsid w:val="008A40DA"/>
    <w:rsid w:val="008A7FDC"/>
    <w:rsid w:val="008B0231"/>
    <w:rsid w:val="008B32E5"/>
    <w:rsid w:val="008B3D20"/>
    <w:rsid w:val="008E54A4"/>
    <w:rsid w:val="008F1815"/>
    <w:rsid w:val="009030FC"/>
    <w:rsid w:val="0090320F"/>
    <w:rsid w:val="00914425"/>
    <w:rsid w:val="00917358"/>
    <w:rsid w:val="00926535"/>
    <w:rsid w:val="00933B0E"/>
    <w:rsid w:val="0093623D"/>
    <w:rsid w:val="00952787"/>
    <w:rsid w:val="00953CC3"/>
    <w:rsid w:val="00954B81"/>
    <w:rsid w:val="0095732D"/>
    <w:rsid w:val="00966941"/>
    <w:rsid w:val="00972B4F"/>
    <w:rsid w:val="009C1EE8"/>
    <w:rsid w:val="009E1538"/>
    <w:rsid w:val="00A4146D"/>
    <w:rsid w:val="00A479EE"/>
    <w:rsid w:val="00A56818"/>
    <w:rsid w:val="00AA4BF9"/>
    <w:rsid w:val="00AB4B74"/>
    <w:rsid w:val="00AC1B56"/>
    <w:rsid w:val="00AC2F0C"/>
    <w:rsid w:val="00AD116F"/>
    <w:rsid w:val="00B140C2"/>
    <w:rsid w:val="00B23768"/>
    <w:rsid w:val="00B23D93"/>
    <w:rsid w:val="00B31263"/>
    <w:rsid w:val="00B40009"/>
    <w:rsid w:val="00B54DF7"/>
    <w:rsid w:val="00B61F4A"/>
    <w:rsid w:val="00B758C3"/>
    <w:rsid w:val="00BB2AC7"/>
    <w:rsid w:val="00BD5778"/>
    <w:rsid w:val="00BE5688"/>
    <w:rsid w:val="00BF2F85"/>
    <w:rsid w:val="00C11900"/>
    <w:rsid w:val="00C325BC"/>
    <w:rsid w:val="00C4296C"/>
    <w:rsid w:val="00C64784"/>
    <w:rsid w:val="00C75CAF"/>
    <w:rsid w:val="00C85B14"/>
    <w:rsid w:val="00CA076B"/>
    <w:rsid w:val="00CB0150"/>
    <w:rsid w:val="00CB0F42"/>
    <w:rsid w:val="00CC6BE4"/>
    <w:rsid w:val="00CE3826"/>
    <w:rsid w:val="00CF1142"/>
    <w:rsid w:val="00D134E0"/>
    <w:rsid w:val="00D35E6A"/>
    <w:rsid w:val="00D8334C"/>
    <w:rsid w:val="00DB16CF"/>
    <w:rsid w:val="00DC0570"/>
    <w:rsid w:val="00DC5F28"/>
    <w:rsid w:val="00DD51AB"/>
    <w:rsid w:val="00E0288C"/>
    <w:rsid w:val="00E135FA"/>
    <w:rsid w:val="00E33C34"/>
    <w:rsid w:val="00E34769"/>
    <w:rsid w:val="00E355C6"/>
    <w:rsid w:val="00E631D5"/>
    <w:rsid w:val="00E717F8"/>
    <w:rsid w:val="00E80A2D"/>
    <w:rsid w:val="00E9748E"/>
    <w:rsid w:val="00EA6624"/>
    <w:rsid w:val="00ED048E"/>
    <w:rsid w:val="00EE39FA"/>
    <w:rsid w:val="00EF642F"/>
    <w:rsid w:val="00F116D8"/>
    <w:rsid w:val="00F27975"/>
    <w:rsid w:val="00F34CA4"/>
    <w:rsid w:val="00F40567"/>
    <w:rsid w:val="00F84AEF"/>
    <w:rsid w:val="00F96B9A"/>
    <w:rsid w:val="00FA68D4"/>
    <w:rsid w:val="00FA6F1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styleId="EndnoteText">
    <w:name w:val="endnote text"/>
    <w:basedOn w:val="Normal"/>
    <w:link w:val="EndnoteTextChar"/>
    <w:uiPriority w:val="99"/>
    <w:semiHidden/>
    <w:unhideWhenUsed/>
    <w:rsid w:val="001B57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57DB"/>
    <w:rPr>
      <w:sz w:val="20"/>
      <w:szCs w:val="20"/>
    </w:rPr>
  </w:style>
  <w:style w:type="character" w:styleId="EndnoteReference">
    <w:name w:val="endnote reference"/>
    <w:basedOn w:val="DefaultParagraphFont"/>
    <w:uiPriority w:val="99"/>
    <w:semiHidden/>
    <w:unhideWhenUsed/>
    <w:rsid w:val="001B57DB"/>
    <w:rPr>
      <w:vertAlign w:val="superscript"/>
    </w:rPr>
  </w:style>
  <w:style w:type="paragraph" w:styleId="Revision">
    <w:name w:val="Revision"/>
    <w:hidden/>
    <w:uiPriority w:val="99"/>
    <w:semiHidden/>
    <w:rsid w:val="009573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2.xml><?xml version="1.0" encoding="utf-8"?>
<ds:datastoreItem xmlns:ds="http://schemas.openxmlformats.org/officeDocument/2006/customXml" ds:itemID="{A7CCA955-FBEB-4C51-8514-17DCC196A17E}">
  <ds:schemaRefs>
    <ds:schemaRef ds:uri="http://schemas.openxmlformats.org/officeDocument/2006/bibliography"/>
  </ds:schemaRefs>
</ds:datastoreItem>
</file>

<file path=customXml/itemProps3.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5.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6.xml><?xml version="1.0" encoding="utf-8"?>
<ds:datastoreItem xmlns:ds="http://schemas.openxmlformats.org/officeDocument/2006/customXml" ds:itemID="{5D6BC1EF-3A5F-4E12-80B2-3412456CB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Jen Robinson</cp:lastModifiedBy>
  <cp:revision>4</cp:revision>
  <dcterms:created xsi:type="dcterms:W3CDTF">2024-08-01T03:04:00Z</dcterms:created>
  <dcterms:modified xsi:type="dcterms:W3CDTF">2024-08-01T03:04:00Z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MediaServiceImageTags">
    <vt:lpwstr/>
  </property>
</Properties>
</file>