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F006C" w14:textId="77777777" w:rsidR="009231B4" w:rsidRDefault="00BF63E8">
      <w:pPr>
        <w:spacing w:after="0"/>
        <w:jc w:val="center"/>
        <w:rPr>
          <w:rFonts w:ascii="Arial" w:hAnsi="Arial" w:cs="Arial"/>
          <w:sz w:val="24"/>
          <w:szCs w:val="24"/>
        </w:rPr>
      </w:pPr>
      <w:r>
        <w:rPr>
          <w:rFonts w:ascii="Arial" w:hAnsi="Arial" w:cs="Arial"/>
          <w:sz w:val="24"/>
          <w:szCs w:val="24"/>
        </w:rPr>
        <w:t>HRP-306 | 7/31/2023</w:t>
      </w:r>
    </w:p>
    <w:p w14:paraId="5D83C924" w14:textId="6BE44243" w:rsidR="007641E1" w:rsidRDefault="00BF63E8">
      <w:pPr>
        <w:spacing w:after="0"/>
        <w:jc w:val="center"/>
        <w:rPr>
          <w:rFonts w:ascii="Arial" w:hAnsi="Arial" w:cs="Arial"/>
          <w:sz w:val="24"/>
          <w:szCs w:val="24"/>
        </w:rPr>
      </w:pPr>
      <w:r>
        <w:rPr>
          <w:rFonts w:ascii="Arial" w:hAnsi="Arial" w:cs="Arial"/>
          <w:sz w:val="24"/>
          <w:szCs w:val="24"/>
        </w:rPr>
        <w:t xml:space="preserve"> </w:t>
      </w:r>
    </w:p>
    <w:p w14:paraId="0F03797C" w14:textId="77777777" w:rsidR="007641E1" w:rsidRDefault="007641E1">
      <w:pPr>
        <w:spacing w:after="0"/>
        <w:jc w:val="center"/>
        <w:rPr>
          <w:rFonts w:ascii="Arial" w:hAnsi="Arial" w:cs="Arial"/>
          <w:sz w:val="24"/>
          <w:szCs w:val="24"/>
        </w:rPr>
      </w:pPr>
    </w:p>
    <w:p w14:paraId="3344C008" w14:textId="572BF1E8" w:rsidR="007641E1" w:rsidRDefault="00BF63E8">
      <w:pPr>
        <w:pStyle w:val="DocumentTitle-HCG"/>
        <w:spacing w:line="360" w:lineRule="auto"/>
        <w:rPr>
          <w:rFonts w:eastAsia="Calibri"/>
        </w:rPr>
      </w:pPr>
      <w:r>
        <w:t>WORKSHEET: Drugs and Biologics</w:t>
      </w:r>
    </w:p>
    <w:p w14:paraId="287F1EA2" w14:textId="1B459893" w:rsidR="007641E1" w:rsidRDefault="00BF63E8">
      <w:pPr>
        <w:pStyle w:val="PrimarySectionText-HCG"/>
        <w:ind w:left="0" w:firstLine="0"/>
        <w:rPr>
          <w:rFonts w:cs="Arial"/>
        </w:rPr>
      </w:pPr>
      <w:r>
        <w:rPr>
          <w:rFonts w:cs="Arial"/>
        </w:rPr>
        <w:t xml:space="preserve">The purpose of this worksheet is to provide support for IRB staff pre-reviewing research involving drugs. It does not need to be completed or retained </w:t>
      </w:r>
      <w:r>
        <w:rPr>
          <w:rStyle w:val="EndnoteReference"/>
          <w:rFonts w:cs="Arial"/>
        </w:rPr>
        <w:endnoteReference w:id="2"/>
      </w:r>
      <w:r>
        <w:rPr>
          <w:rFonts w:cs="Arial"/>
        </w:rPr>
        <w:t>.</w:t>
      </w:r>
    </w:p>
    <w:p w14:paraId="131445AC" w14:textId="58AB6C02" w:rsidR="007641E1" w:rsidRDefault="00BF63E8">
      <w:pPr>
        <w:pStyle w:val="SectionHeading-HCG"/>
        <w:numPr>
          <w:ilvl w:val="0"/>
          <w:numId w:val="7"/>
        </w:numPr>
        <w:spacing w:line="276" w:lineRule="auto"/>
        <w:rPr>
          <w:sz w:val="22"/>
          <w:szCs w:val="22"/>
        </w:rPr>
      </w:pPr>
      <w:r>
        <w:rPr>
          <w:sz w:val="22"/>
          <w:szCs w:val="22"/>
        </w:rPr>
        <w:t>DRUG APPLICABILITY</w:t>
      </w:r>
    </w:p>
    <w:p w14:paraId="31D249B3" w14:textId="443A7E09" w:rsidR="007641E1" w:rsidRDefault="00BF63E8">
      <w:pPr>
        <w:pStyle w:val="PrimarySectionText-HCG"/>
        <w:ind w:left="0" w:firstLine="0"/>
        <w:rPr>
          <w:rFonts w:cs="Arial"/>
        </w:rPr>
      </w:pPr>
      <w:r>
        <w:rPr>
          <w:rFonts w:cs="Arial"/>
        </w:rPr>
        <w:t xml:space="preserve">Does the activity involve any the following? </w:t>
      </w:r>
      <w:r>
        <w:rPr>
          <w:rFonts w:cs="Arial"/>
          <w:b/>
          <w:bCs/>
        </w:rPr>
        <w:t>(Check all that apply) If “No” to both, FDA regulations do not apply.</w:t>
      </w:r>
      <w:r>
        <w:rPr>
          <w:rFonts w:cs="Arial"/>
        </w:rPr>
        <w:t xml:space="preserve"> </w:t>
      </w:r>
    </w:p>
    <w:p w14:paraId="67A80A2E" w14:textId="57FAFD11" w:rsidR="007641E1" w:rsidRDefault="009231B4">
      <w:pPr>
        <w:pStyle w:val="PrimarySectionText-HCG"/>
        <w:rPr>
          <w:rFonts w:cs="Arial"/>
        </w:rPr>
      </w:pPr>
      <w:sdt>
        <w:sdtPr>
          <w:rPr>
            <w:rFonts w:cs="Arial"/>
          </w:rPr>
          <w:id w:val="-249882643"/>
          <w14:checkbox>
            <w14:checked w14:val="0"/>
            <w14:checkedState w14:val="2612" w14:font="MS Gothic"/>
            <w14:uncheckedState w14:val="2610" w14:font="MS Gothic"/>
          </w14:checkbox>
        </w:sdtPr>
        <w:sdtEndPr/>
        <w:sdtContent>
          <w:r w:rsidR="00BF63E8">
            <w:rPr>
              <w:rFonts w:ascii="Segoe UI Symbol" w:eastAsia="MS Gothic" w:hAnsi="Segoe UI Symbol" w:cs="Segoe UI Symbol"/>
            </w:rPr>
            <w:t>☐</w:t>
          </w:r>
        </w:sdtContent>
      </w:sdt>
      <w:r w:rsidR="00BF63E8">
        <w:rPr>
          <w:rFonts w:cs="Arial"/>
        </w:rPr>
        <w:t xml:space="preserve"> In the United States: The use of a drug </w:t>
      </w:r>
      <w:r w:rsidR="00BF63E8">
        <w:rPr>
          <w:rStyle w:val="EndnoteReference"/>
          <w:rFonts w:cs="Arial"/>
        </w:rPr>
        <w:endnoteReference w:id="3"/>
      </w:r>
      <w:r w:rsidR="00BF63E8">
        <w:rPr>
          <w:rFonts w:cs="Arial"/>
        </w:rPr>
        <w:t xml:space="preserve"> or a biological product (biologic) </w:t>
      </w:r>
      <w:r w:rsidR="00BF63E8">
        <w:rPr>
          <w:rStyle w:val="EndnoteReference"/>
          <w:rFonts w:cs="Arial"/>
        </w:rPr>
        <w:endnoteReference w:id="4"/>
      </w:r>
      <w:r w:rsidR="00BF63E8">
        <w:rPr>
          <w:rFonts w:cs="Arial"/>
        </w:rPr>
        <w:t xml:space="preserve"> in one or more persons other than use of an approved drug </w:t>
      </w:r>
      <w:proofErr w:type="gramStart"/>
      <w:r w:rsidR="00BF63E8">
        <w:rPr>
          <w:rFonts w:cs="Arial"/>
        </w:rPr>
        <w:t>in the course of</w:t>
      </w:r>
      <w:proofErr w:type="gramEnd"/>
      <w:r w:rsidR="00BF63E8">
        <w:rPr>
          <w:rFonts w:cs="Arial"/>
        </w:rPr>
        <w:t xml:space="preserve"> medical practice </w:t>
      </w:r>
      <w:r w:rsidR="00BF63E8">
        <w:rPr>
          <w:rStyle w:val="EndnoteReference"/>
          <w:rFonts w:cs="Arial"/>
        </w:rPr>
        <w:endnoteReference w:id="5"/>
      </w:r>
      <w:r w:rsidR="00BF63E8">
        <w:rPr>
          <w:rFonts w:cs="Arial"/>
        </w:rPr>
        <w:t>.</w:t>
      </w:r>
    </w:p>
    <w:p w14:paraId="2094F535" w14:textId="52CB61D2" w:rsidR="007641E1" w:rsidRDefault="009231B4">
      <w:pPr>
        <w:pStyle w:val="PrimarySectionText-HCG"/>
        <w:rPr>
          <w:rFonts w:cs="Arial"/>
        </w:rPr>
      </w:pPr>
      <w:sdt>
        <w:sdtPr>
          <w:rPr>
            <w:rFonts w:cs="Arial"/>
          </w:rPr>
          <w:id w:val="513040459"/>
          <w14:checkbox>
            <w14:checked w14:val="0"/>
            <w14:checkedState w14:val="2612" w14:font="MS Gothic"/>
            <w14:uncheckedState w14:val="2610" w14:font="MS Gothic"/>
          </w14:checkbox>
        </w:sdtPr>
        <w:sdtEndPr/>
        <w:sdtContent>
          <w:r w:rsidR="00BF63E8">
            <w:rPr>
              <w:rFonts w:ascii="Segoe UI Symbol" w:eastAsia="MS Gothic" w:hAnsi="Segoe UI Symbol" w:cs="Segoe UI Symbol"/>
            </w:rPr>
            <w:t>☐</w:t>
          </w:r>
        </w:sdtContent>
      </w:sdt>
      <w:r w:rsidR="00BF63E8">
        <w:rPr>
          <w:rFonts w:cs="Arial"/>
        </w:rPr>
        <w:t xml:space="preserve"> Data regarding subjects or control subjects submitted to or held for inspection by FDA</w:t>
      </w:r>
      <w:r w:rsidR="00BF63E8">
        <w:rPr>
          <w:rStyle w:val="EndnoteReference"/>
          <w:rFonts w:cs="Arial"/>
        </w:rPr>
        <w:endnoteReference w:id="6"/>
      </w:r>
      <w:r w:rsidR="00BF63E8">
        <w:rPr>
          <w:rFonts w:cs="Arial"/>
        </w:rPr>
        <w:t xml:space="preserve">. </w:t>
      </w:r>
    </w:p>
    <w:p w14:paraId="3EADE71C" w14:textId="4EBA32FD" w:rsidR="007641E1" w:rsidRDefault="00BF63E8">
      <w:pPr>
        <w:pStyle w:val="SectionHeading-HCG"/>
        <w:numPr>
          <w:ilvl w:val="0"/>
          <w:numId w:val="7"/>
        </w:numPr>
        <w:rPr>
          <w:sz w:val="22"/>
          <w:szCs w:val="22"/>
        </w:rPr>
      </w:pPr>
      <w:r>
        <w:rPr>
          <w:sz w:val="22"/>
          <w:szCs w:val="22"/>
        </w:rPr>
        <w:t>IND REQUIREMENTS</w:t>
      </w:r>
      <w:r>
        <w:rPr>
          <w:rStyle w:val="EndnoteReference"/>
          <w:sz w:val="22"/>
          <w:szCs w:val="22"/>
        </w:rPr>
        <w:endnoteReference w:id="7"/>
      </w:r>
      <w:r>
        <w:rPr>
          <w:sz w:val="22"/>
          <w:szCs w:val="22"/>
        </w:rPr>
        <w:t xml:space="preserve"> (</w:t>
      </w:r>
      <w:r>
        <w:rPr>
          <w:b w:val="0"/>
          <w:bCs w:val="0"/>
          <w:sz w:val="22"/>
          <w:szCs w:val="22"/>
        </w:rPr>
        <w:t>Check if “</w:t>
      </w:r>
      <w:r>
        <w:rPr>
          <w:sz w:val="22"/>
          <w:szCs w:val="22"/>
        </w:rPr>
        <w:t>Yes</w:t>
      </w:r>
      <w:r>
        <w:rPr>
          <w:b w:val="0"/>
          <w:bCs w:val="0"/>
          <w:sz w:val="22"/>
          <w:szCs w:val="22"/>
        </w:rPr>
        <w:t>”. One must be “</w:t>
      </w:r>
      <w:r>
        <w:rPr>
          <w:sz w:val="22"/>
          <w:szCs w:val="22"/>
        </w:rPr>
        <w:t>Yes</w:t>
      </w:r>
      <w:r>
        <w:rPr>
          <w:b w:val="0"/>
          <w:bCs w:val="0"/>
          <w:sz w:val="22"/>
          <w:szCs w:val="22"/>
        </w:rPr>
        <w:t>.” If all are “</w:t>
      </w:r>
      <w:r>
        <w:rPr>
          <w:sz w:val="22"/>
          <w:szCs w:val="22"/>
        </w:rPr>
        <w:t>No</w:t>
      </w:r>
      <w:r>
        <w:rPr>
          <w:b w:val="0"/>
          <w:bCs w:val="0"/>
          <w:sz w:val="22"/>
          <w:szCs w:val="22"/>
        </w:rPr>
        <w:t>” IND information is not complete.)</w:t>
      </w:r>
    </w:p>
    <w:p w14:paraId="4C63E562" w14:textId="01E823E6" w:rsidR="007641E1" w:rsidRDefault="009231B4">
      <w:pPr>
        <w:pStyle w:val="PrimarySectionText-HCG"/>
        <w:rPr>
          <w:rFonts w:cs="Arial"/>
        </w:rPr>
      </w:pPr>
      <w:sdt>
        <w:sdtPr>
          <w:rPr>
            <w:rFonts w:cs="Arial"/>
          </w:rPr>
          <w:id w:val="-359281742"/>
          <w14:checkbox>
            <w14:checked w14:val="0"/>
            <w14:checkedState w14:val="2612" w14:font="MS Gothic"/>
            <w14:uncheckedState w14:val="2610" w14:font="MS Gothic"/>
          </w14:checkbox>
        </w:sdtPr>
        <w:sdtEndPr/>
        <w:sdtContent>
          <w:r w:rsidR="00BF63E8">
            <w:rPr>
              <w:rFonts w:ascii="Segoe UI Symbol" w:eastAsia="MS Gothic" w:hAnsi="Segoe UI Symbol" w:cs="Segoe UI Symbol"/>
            </w:rPr>
            <w:t>☐</w:t>
          </w:r>
        </w:sdtContent>
      </w:sdt>
      <w:r w:rsidR="00BF63E8">
        <w:rPr>
          <w:rFonts w:cs="Arial"/>
        </w:rPr>
        <w:t xml:space="preserve"> The drug has a valid IND. (Complete Sections 3 and 4)</w:t>
      </w:r>
    </w:p>
    <w:p w14:paraId="2F63D09F" w14:textId="3E93F906" w:rsidR="007641E1" w:rsidRDefault="009231B4">
      <w:pPr>
        <w:pStyle w:val="PrimarySectionText-HCG"/>
        <w:rPr>
          <w:rFonts w:cs="Arial"/>
        </w:rPr>
      </w:pPr>
      <w:sdt>
        <w:sdtPr>
          <w:rPr>
            <w:rFonts w:cs="Arial"/>
          </w:rPr>
          <w:id w:val="-1362811161"/>
          <w14:checkbox>
            <w14:checked w14:val="0"/>
            <w14:checkedState w14:val="2612" w14:font="MS Gothic"/>
            <w14:uncheckedState w14:val="2610" w14:font="MS Gothic"/>
          </w14:checkbox>
        </w:sdtPr>
        <w:sdtEndPr/>
        <w:sdtContent>
          <w:r w:rsidR="00BF63E8">
            <w:rPr>
              <w:rFonts w:ascii="Segoe UI Symbol" w:eastAsia="MS Gothic" w:hAnsi="Segoe UI Symbol" w:cs="Segoe UI Symbol"/>
            </w:rPr>
            <w:t>☐</w:t>
          </w:r>
        </w:sdtContent>
      </w:sdt>
      <w:r w:rsidR="00BF63E8">
        <w:rPr>
          <w:rFonts w:cs="Arial"/>
        </w:rPr>
        <w:t xml:space="preserve"> The drug is exempt from the IND requirements (Complete Section 5)</w:t>
      </w:r>
    </w:p>
    <w:p w14:paraId="276DD8BA" w14:textId="0603AEFA" w:rsidR="007641E1" w:rsidRDefault="009231B4">
      <w:pPr>
        <w:pStyle w:val="PrimarySectionText-HCG"/>
        <w:rPr>
          <w:rFonts w:cs="Arial"/>
        </w:rPr>
      </w:pPr>
      <w:sdt>
        <w:sdtPr>
          <w:rPr>
            <w:rFonts w:cs="Arial"/>
          </w:rPr>
          <w:id w:val="-203791548"/>
          <w14:checkbox>
            <w14:checked w14:val="0"/>
            <w14:checkedState w14:val="2612" w14:font="MS Gothic"/>
            <w14:uncheckedState w14:val="2610" w14:font="MS Gothic"/>
          </w14:checkbox>
        </w:sdtPr>
        <w:sdtEndPr/>
        <w:sdtContent>
          <w:r w:rsidR="00BF63E8">
            <w:rPr>
              <w:rFonts w:ascii="Segoe UI Symbol" w:eastAsia="MS Gothic" w:hAnsi="Segoe UI Symbol" w:cs="Segoe UI Symbol"/>
            </w:rPr>
            <w:t>☐</w:t>
          </w:r>
        </w:sdtContent>
      </w:sdt>
      <w:r w:rsidR="00BF63E8">
        <w:rPr>
          <w:rFonts w:cs="Arial"/>
        </w:rPr>
        <w:t xml:space="preserve">The research is conducted outside of the United States and is conducted under ICH-GCP. </w:t>
      </w:r>
    </w:p>
    <w:p w14:paraId="34F039D8" w14:textId="5842E1D6" w:rsidR="007641E1" w:rsidRDefault="00BF63E8">
      <w:pPr>
        <w:pStyle w:val="SectionHeading-HCG"/>
        <w:numPr>
          <w:ilvl w:val="0"/>
          <w:numId w:val="7"/>
        </w:numPr>
        <w:spacing w:line="276" w:lineRule="auto"/>
        <w:rPr>
          <w:sz w:val="22"/>
          <w:szCs w:val="22"/>
        </w:rPr>
      </w:pPr>
      <w:r>
        <w:rPr>
          <w:sz w:val="22"/>
          <w:szCs w:val="22"/>
        </w:rPr>
        <w:t xml:space="preserve">IND VALIDATION </w:t>
      </w:r>
      <w:r>
        <w:rPr>
          <w:b w:val="0"/>
          <w:bCs w:val="0"/>
          <w:sz w:val="22"/>
          <w:szCs w:val="22"/>
        </w:rPr>
        <w:t>(Check if “</w:t>
      </w:r>
      <w:r>
        <w:rPr>
          <w:sz w:val="22"/>
          <w:szCs w:val="22"/>
        </w:rPr>
        <w:t>Yes</w:t>
      </w:r>
      <w:r>
        <w:rPr>
          <w:b w:val="0"/>
          <w:bCs w:val="0"/>
          <w:sz w:val="22"/>
          <w:szCs w:val="22"/>
        </w:rPr>
        <w:t>”. At least one must be “</w:t>
      </w:r>
      <w:r>
        <w:rPr>
          <w:sz w:val="22"/>
          <w:szCs w:val="22"/>
        </w:rPr>
        <w:t>Yes</w:t>
      </w:r>
      <w:r>
        <w:rPr>
          <w:b w:val="0"/>
          <w:bCs w:val="0"/>
          <w:sz w:val="22"/>
          <w:szCs w:val="22"/>
        </w:rPr>
        <w:t>.” If all are “</w:t>
      </w:r>
      <w:r>
        <w:rPr>
          <w:sz w:val="22"/>
          <w:szCs w:val="22"/>
        </w:rPr>
        <w:t>No</w:t>
      </w:r>
      <w:r>
        <w:rPr>
          <w:b w:val="0"/>
          <w:bCs w:val="0"/>
          <w:sz w:val="22"/>
          <w:szCs w:val="22"/>
        </w:rPr>
        <w:t>” IND cannot be validated.)</w:t>
      </w:r>
    </w:p>
    <w:p w14:paraId="24E21921" w14:textId="6E7C6309" w:rsidR="007641E1" w:rsidRDefault="009231B4">
      <w:pPr>
        <w:pStyle w:val="PrimarySectionText-HCG"/>
        <w:rPr>
          <w:rFonts w:cs="Arial"/>
        </w:rPr>
      </w:pPr>
      <w:sdt>
        <w:sdtPr>
          <w:rPr>
            <w:rFonts w:cs="Arial"/>
          </w:rPr>
          <w:id w:val="447287576"/>
          <w14:checkbox>
            <w14:checked w14:val="0"/>
            <w14:checkedState w14:val="2612" w14:font="MS Gothic"/>
            <w14:uncheckedState w14:val="2610" w14:font="MS Gothic"/>
          </w14:checkbox>
        </w:sdtPr>
        <w:sdtEndPr/>
        <w:sdtContent>
          <w:r w:rsidR="00BF63E8">
            <w:rPr>
              <w:rFonts w:ascii="Segoe UI Symbol" w:eastAsia="MS Gothic" w:hAnsi="Segoe UI Symbol" w:cs="Segoe UI Symbol"/>
            </w:rPr>
            <w:t>☐</w:t>
          </w:r>
        </w:sdtContent>
      </w:sdt>
      <w:r w:rsidR="00BF63E8">
        <w:rPr>
          <w:rFonts w:cs="Arial"/>
        </w:rPr>
        <w:t xml:space="preserve"> Sponsor protocol imprinted with the IND number.</w:t>
      </w:r>
    </w:p>
    <w:p w14:paraId="10EACEB3" w14:textId="20A9B82B" w:rsidR="007641E1" w:rsidRDefault="009231B4">
      <w:pPr>
        <w:pStyle w:val="PrimarySectionText-HCG"/>
        <w:rPr>
          <w:rFonts w:cs="Arial"/>
        </w:rPr>
      </w:pPr>
      <w:sdt>
        <w:sdtPr>
          <w:rPr>
            <w:rFonts w:cs="Arial"/>
          </w:rPr>
          <w:id w:val="-803158735"/>
          <w14:checkbox>
            <w14:checked w14:val="0"/>
            <w14:checkedState w14:val="2612" w14:font="MS Gothic"/>
            <w14:uncheckedState w14:val="2610" w14:font="MS Gothic"/>
          </w14:checkbox>
        </w:sdtPr>
        <w:sdtEndPr/>
        <w:sdtContent>
          <w:r w:rsidR="00BF63E8">
            <w:rPr>
              <w:rFonts w:ascii="Segoe UI Symbol" w:eastAsia="MS Gothic" w:hAnsi="Segoe UI Symbol" w:cs="Segoe UI Symbol"/>
            </w:rPr>
            <w:t>☐</w:t>
          </w:r>
        </w:sdtContent>
      </w:sdt>
      <w:r w:rsidR="00BF63E8">
        <w:rPr>
          <w:rFonts w:cs="Arial"/>
        </w:rPr>
        <w:t xml:space="preserve"> Written communication from the sponsor documenting the IND number.</w:t>
      </w:r>
    </w:p>
    <w:p w14:paraId="1484FB99" w14:textId="30D13166" w:rsidR="007641E1" w:rsidRDefault="009231B4">
      <w:pPr>
        <w:pStyle w:val="PrimarySectionText-HCG"/>
        <w:rPr>
          <w:rFonts w:cs="Arial"/>
        </w:rPr>
      </w:pPr>
      <w:sdt>
        <w:sdtPr>
          <w:rPr>
            <w:rFonts w:cs="Arial"/>
          </w:rPr>
          <w:id w:val="1410663938"/>
          <w14:checkbox>
            <w14:checked w14:val="0"/>
            <w14:checkedState w14:val="2612" w14:font="MS Gothic"/>
            <w14:uncheckedState w14:val="2610" w14:font="MS Gothic"/>
          </w14:checkbox>
        </w:sdtPr>
        <w:sdtEndPr/>
        <w:sdtContent>
          <w:r w:rsidR="00BF63E8">
            <w:rPr>
              <w:rFonts w:ascii="Segoe UI Symbol" w:eastAsia="MS Gothic" w:hAnsi="Segoe UI Symbol" w:cs="Segoe UI Symbol"/>
            </w:rPr>
            <w:t>☐</w:t>
          </w:r>
        </w:sdtContent>
      </w:sdt>
      <w:r w:rsidR="00BF63E8">
        <w:rPr>
          <w:rFonts w:cs="Arial"/>
        </w:rPr>
        <w:t xml:space="preserve"> Written communication from the FDA documenting the IND number. (Required if the investigator holds the IND.)</w:t>
      </w:r>
    </w:p>
    <w:p w14:paraId="6460E3E7" w14:textId="6C4D3D39" w:rsidR="007641E1" w:rsidRDefault="00BF63E8">
      <w:pPr>
        <w:pStyle w:val="SectionHeading-HCG"/>
        <w:numPr>
          <w:ilvl w:val="0"/>
          <w:numId w:val="7"/>
        </w:numPr>
        <w:spacing w:line="276" w:lineRule="auto"/>
        <w:rPr>
          <w:sz w:val="22"/>
          <w:szCs w:val="22"/>
        </w:rPr>
      </w:pPr>
      <w:r>
        <w:rPr>
          <w:sz w:val="22"/>
          <w:szCs w:val="22"/>
        </w:rPr>
        <w:t xml:space="preserve">DRUG OR BIOLOGIC CONTROL </w:t>
      </w:r>
      <w:r>
        <w:rPr>
          <w:b w:val="0"/>
          <w:bCs w:val="0"/>
          <w:sz w:val="22"/>
          <w:szCs w:val="22"/>
        </w:rPr>
        <w:t>(Check if “</w:t>
      </w:r>
      <w:r>
        <w:rPr>
          <w:sz w:val="22"/>
          <w:szCs w:val="22"/>
        </w:rPr>
        <w:t>Yes</w:t>
      </w:r>
      <w:r>
        <w:rPr>
          <w:b w:val="0"/>
          <w:bCs w:val="0"/>
          <w:sz w:val="22"/>
          <w:szCs w:val="22"/>
        </w:rPr>
        <w:t>”. Must be “</w:t>
      </w:r>
      <w:r>
        <w:rPr>
          <w:sz w:val="22"/>
          <w:szCs w:val="22"/>
        </w:rPr>
        <w:t>Yes</w:t>
      </w:r>
      <w:r>
        <w:rPr>
          <w:b w:val="0"/>
          <w:bCs w:val="0"/>
          <w:sz w:val="22"/>
          <w:szCs w:val="22"/>
        </w:rPr>
        <w:t>. If “</w:t>
      </w:r>
      <w:r>
        <w:rPr>
          <w:sz w:val="22"/>
          <w:szCs w:val="22"/>
        </w:rPr>
        <w:t>No</w:t>
      </w:r>
      <w:r>
        <w:rPr>
          <w:b w:val="0"/>
          <w:bCs w:val="0"/>
          <w:sz w:val="22"/>
          <w:szCs w:val="22"/>
        </w:rPr>
        <w:t>” information regarding drug control is incomplete.)</w:t>
      </w:r>
    </w:p>
    <w:p w14:paraId="48B86FF9" w14:textId="134D1F42" w:rsidR="007641E1" w:rsidRDefault="009231B4">
      <w:pPr>
        <w:pStyle w:val="PrimarySectionText-HCG"/>
        <w:rPr>
          <w:rFonts w:cs="Arial"/>
        </w:rPr>
      </w:pPr>
      <w:sdt>
        <w:sdtPr>
          <w:rPr>
            <w:rFonts w:cs="Arial"/>
          </w:rPr>
          <w:id w:val="2138211767"/>
          <w14:checkbox>
            <w14:checked w14:val="0"/>
            <w14:checkedState w14:val="2612" w14:font="MS Gothic"/>
            <w14:uncheckedState w14:val="2610" w14:font="MS Gothic"/>
          </w14:checkbox>
        </w:sdtPr>
        <w:sdtEndPr/>
        <w:sdtContent>
          <w:r w:rsidR="00BF63E8">
            <w:rPr>
              <w:rFonts w:ascii="Segoe UI Symbol" w:eastAsia="MS Gothic" w:hAnsi="Segoe UI Symbol" w:cs="Segoe UI Symbol"/>
            </w:rPr>
            <w:t>☐</w:t>
          </w:r>
        </w:sdtContent>
      </w:sdt>
      <w:r w:rsidR="00BF63E8">
        <w:rPr>
          <w:rFonts w:cs="Arial"/>
        </w:rPr>
        <w:t xml:space="preserve"> The plan for storage, control, and dispensing of the drug or biologic is adequate to ensure that only authorized investigators will use the drug and that they will use the drug only in subjects who have provided consent.</w:t>
      </w:r>
      <w:r w:rsidR="00BF63E8">
        <w:rPr>
          <w:rStyle w:val="EndnoteReference"/>
          <w:rFonts w:cs="Arial"/>
        </w:rPr>
        <w:endnoteReference w:id="8"/>
      </w:r>
    </w:p>
    <w:p w14:paraId="412C6675" w14:textId="6A32B6D4" w:rsidR="007641E1" w:rsidRDefault="00BF63E8">
      <w:pPr>
        <w:pStyle w:val="SectionHeading-HCG"/>
        <w:numPr>
          <w:ilvl w:val="0"/>
          <w:numId w:val="7"/>
        </w:numPr>
        <w:spacing w:line="276" w:lineRule="auto"/>
        <w:rPr>
          <w:sz w:val="22"/>
          <w:szCs w:val="22"/>
        </w:rPr>
      </w:pPr>
      <w:r>
        <w:rPr>
          <w:sz w:val="22"/>
          <w:szCs w:val="22"/>
        </w:rPr>
        <w:t>IND EXEMPTIONS (</w:t>
      </w:r>
      <w:r>
        <w:rPr>
          <w:b w:val="0"/>
          <w:bCs w:val="0"/>
          <w:sz w:val="22"/>
          <w:szCs w:val="22"/>
        </w:rPr>
        <w:t>Check if “</w:t>
      </w:r>
      <w:r>
        <w:rPr>
          <w:sz w:val="22"/>
          <w:szCs w:val="22"/>
        </w:rPr>
        <w:t>Yes</w:t>
      </w:r>
      <w:r>
        <w:rPr>
          <w:b w:val="0"/>
          <w:bCs w:val="0"/>
          <w:sz w:val="22"/>
          <w:szCs w:val="22"/>
        </w:rPr>
        <w:t>”. All criteria for one category must be “</w:t>
      </w:r>
      <w:r>
        <w:rPr>
          <w:sz w:val="22"/>
          <w:szCs w:val="22"/>
        </w:rPr>
        <w:t>Yes</w:t>
      </w:r>
      <w:r>
        <w:rPr>
          <w:b w:val="0"/>
          <w:bCs w:val="0"/>
          <w:sz w:val="22"/>
          <w:szCs w:val="22"/>
        </w:rPr>
        <w:t>” to be met. If none are met, the drug is not exempt from an IND.)</w:t>
      </w:r>
    </w:p>
    <w:p w14:paraId="1C9E2527" w14:textId="5533D983" w:rsidR="007641E1" w:rsidRDefault="00BF63E8">
      <w:pPr>
        <w:pStyle w:val="PrimarySectionText-HCG"/>
        <w:ind w:left="0" w:firstLine="0"/>
        <w:rPr>
          <w:rFonts w:cs="Arial"/>
        </w:rPr>
      </w:pPr>
      <w:r>
        <w:rPr>
          <w:rFonts w:ascii="Segoe UI Symbol" w:hAnsi="Segoe UI Symbol" w:cs="Segoe UI Symbol"/>
        </w:rPr>
        <w:t>☐</w:t>
      </w:r>
      <w:r>
        <w:rPr>
          <w:rFonts w:cs="Arial"/>
        </w:rPr>
        <w:t xml:space="preserve"> </w:t>
      </w:r>
      <w:r>
        <w:rPr>
          <w:rFonts w:cs="Arial"/>
          <w:b/>
          <w:bCs/>
        </w:rPr>
        <w:t>Category #1 - Lawfully Marketed Drugs (21 CFR 312.2(b)(1)) or Biologics</w:t>
      </w:r>
    </w:p>
    <w:p w14:paraId="2E066BFD" w14:textId="54F86C78"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drug or biologic is lawfully marketed in the United States.</w:t>
      </w:r>
    </w:p>
    <w:p w14:paraId="07088BB8" w14:textId="54517B6A" w:rsidR="007641E1" w:rsidRDefault="00BF63E8">
      <w:pPr>
        <w:pStyle w:val="Sub-SectionText-HCG"/>
        <w:spacing w:line="276" w:lineRule="auto"/>
        <w:rPr>
          <w:rFonts w:cs="Arial"/>
        </w:rPr>
      </w:pPr>
      <w:r>
        <w:rPr>
          <w:rFonts w:ascii="Segoe UI Symbol" w:hAnsi="Segoe UI Symbol" w:cs="Segoe UI Symbol"/>
        </w:rPr>
        <w:lastRenderedPageBreak/>
        <w:t>☐</w:t>
      </w:r>
      <w:r>
        <w:rPr>
          <w:rFonts w:cs="Arial"/>
        </w:rPr>
        <w:t xml:space="preserve"> The research is not intended to be reported to the FDA as a well-controlled study in support of a new indication for use nor intended to be used to support any other significant change in the labeling for the drug.</w:t>
      </w:r>
    </w:p>
    <w:p w14:paraId="7D13A537" w14:textId="41AE3C70"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research is not intended to support a significant change in the advertising for the product.</w:t>
      </w:r>
    </w:p>
    <w:p w14:paraId="691A715F" w14:textId="13866D18"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research does not involve a route of administration or dosage level or use in a patient population or other factor that significantly increases the risks (or decreases the acceptability of the risks) associated with the use of the drug product.</w:t>
      </w:r>
    </w:p>
    <w:p w14:paraId="6A1797CB" w14:textId="2713E7BE"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research is conducted in compliance with the marketing limitations described in 21 CFR §312.7.</w:t>
      </w:r>
    </w:p>
    <w:p w14:paraId="14660FE8" w14:textId="77777777" w:rsidR="007641E1" w:rsidRDefault="00BF63E8">
      <w:pPr>
        <w:pStyle w:val="PrimarySectionText-HCG"/>
        <w:rPr>
          <w:rFonts w:cs="Arial"/>
          <w:b/>
          <w:bCs/>
        </w:rPr>
      </w:pPr>
      <w:r>
        <w:rPr>
          <w:rFonts w:ascii="Segoe UI Symbol" w:hAnsi="Segoe UI Symbol" w:cs="Segoe UI Symbol"/>
        </w:rPr>
        <w:t>☐</w:t>
      </w:r>
      <w:r>
        <w:rPr>
          <w:rFonts w:cs="Arial"/>
        </w:rPr>
        <w:t xml:space="preserve"> </w:t>
      </w:r>
      <w:r>
        <w:rPr>
          <w:rFonts w:cs="Arial"/>
          <w:b/>
          <w:bCs/>
        </w:rPr>
        <w:t>Category #2 - Serological Tests (21 CFR 312.2(b)(2))</w:t>
      </w:r>
    </w:p>
    <w:p w14:paraId="2E173719" w14:textId="77777777" w:rsidR="007641E1" w:rsidRDefault="00BF63E8">
      <w:pPr>
        <w:pStyle w:val="Sub-SectionText-HCG"/>
        <w:spacing w:line="276" w:lineRule="auto"/>
        <w:rPr>
          <w:rFonts w:cs="Arial"/>
        </w:rPr>
      </w:pPr>
      <w:r>
        <w:rPr>
          <w:rFonts w:ascii="Segoe UI Symbol" w:hAnsi="Segoe UI Symbol" w:cs="Segoe UI Symbol"/>
        </w:rPr>
        <w:t>☐</w:t>
      </w:r>
      <w:r>
        <w:rPr>
          <w:rFonts w:cs="Arial"/>
        </w:rPr>
        <w:t xml:space="preserve"> A clinical investigation for an in vitro diagnostic </w:t>
      </w:r>
      <w:r>
        <w:rPr>
          <w:rStyle w:val="EndnoteReference"/>
          <w:rFonts w:cs="Arial"/>
          <w:vertAlign w:val="baseline"/>
        </w:rPr>
        <w:endnoteReference w:id="9"/>
      </w:r>
      <w:r>
        <w:rPr>
          <w:rFonts w:cs="Arial"/>
        </w:rPr>
        <w:t xml:space="preserve"> biological product that involves one or more of the following: (1) Blood grouping serum; (2) Reagent red blood cells; or (3) Anti-human globulin.</w:t>
      </w:r>
    </w:p>
    <w:p w14:paraId="16B50224" w14:textId="77777777"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diagnostic test is intended to be used in a diagnostic procedure that confirms the diagnosis made by another, medically established, diagnostic product or procedure.</w:t>
      </w:r>
    </w:p>
    <w:p w14:paraId="6C3EE897" w14:textId="17D15D93"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diagnostic test is shipped in compliance with 21 CFR §312.160.</w:t>
      </w:r>
    </w:p>
    <w:p w14:paraId="571D211D" w14:textId="5B5590FC" w:rsidR="007641E1" w:rsidRDefault="00BF63E8">
      <w:pPr>
        <w:pStyle w:val="PrimarySectionText-HCG"/>
        <w:rPr>
          <w:rFonts w:cs="Arial"/>
        </w:rPr>
      </w:pPr>
      <w:r>
        <w:rPr>
          <w:rFonts w:ascii="Segoe UI Symbol" w:hAnsi="Segoe UI Symbol" w:cs="Segoe UI Symbol"/>
        </w:rPr>
        <w:t>☐</w:t>
      </w:r>
      <w:r>
        <w:rPr>
          <w:rFonts w:cs="Arial"/>
        </w:rPr>
        <w:t xml:space="preserve"> </w:t>
      </w:r>
      <w:r>
        <w:rPr>
          <w:rFonts w:cs="Arial"/>
          <w:b/>
          <w:bCs/>
        </w:rPr>
        <w:t>Category #3 - Placebos (21 CFR 312.2(b)(5))</w:t>
      </w:r>
      <w:r>
        <w:rPr>
          <w:rFonts w:cs="Arial"/>
        </w:rPr>
        <w:t xml:space="preserve">          </w:t>
      </w:r>
    </w:p>
    <w:p w14:paraId="3B0E2BFE" w14:textId="5F749DAA" w:rsidR="007641E1" w:rsidRDefault="00BF63E8">
      <w:pPr>
        <w:pStyle w:val="Sub-SectionText-HCG"/>
        <w:spacing w:line="276" w:lineRule="auto"/>
        <w:rPr>
          <w:rFonts w:cs="Arial"/>
        </w:rPr>
      </w:pPr>
      <w:r>
        <w:rPr>
          <w:rFonts w:ascii="Segoe UI Symbol" w:hAnsi="Segoe UI Symbol" w:cs="Segoe UI Symbol"/>
        </w:rPr>
        <w:t>☐</w:t>
      </w:r>
      <w:r>
        <w:rPr>
          <w:rFonts w:cs="Arial"/>
        </w:rPr>
        <w:t xml:space="preserve"> A clinical investigation involving use of a placebo when the investigation does not otherwise require submission of an IND.</w:t>
      </w:r>
    </w:p>
    <w:p w14:paraId="055E6AD4" w14:textId="6531AC03" w:rsidR="007641E1" w:rsidRDefault="00BF63E8">
      <w:pPr>
        <w:pStyle w:val="PrimarySectionText-HCG"/>
        <w:rPr>
          <w:rFonts w:cs="Arial"/>
          <w:b/>
          <w:bCs/>
        </w:rPr>
      </w:pPr>
      <w:r>
        <w:rPr>
          <w:rFonts w:ascii="Segoe UI Symbol" w:hAnsi="Segoe UI Symbol" w:cs="Segoe UI Symbol"/>
        </w:rPr>
        <w:t>☐</w:t>
      </w:r>
      <w:r>
        <w:rPr>
          <w:rFonts w:cs="Arial"/>
        </w:rPr>
        <w:t xml:space="preserve"> </w:t>
      </w:r>
      <w:r>
        <w:rPr>
          <w:rFonts w:cs="Arial"/>
          <w:b/>
          <w:bCs/>
        </w:rPr>
        <w:t>Category #4 - Bioavailability/Bioequivalence Studies (21 CFR 320.31(b) and (d))</w:t>
      </w:r>
    </w:p>
    <w:p w14:paraId="29BA7509" w14:textId="77777777"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active moiety in the drug product is identical to that in an FDA approved drug.</w:t>
      </w:r>
    </w:p>
    <w:p w14:paraId="1300B1F7" w14:textId="6BECC934"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drug product is not radioactively labeled.</w:t>
      </w:r>
    </w:p>
    <w:p w14:paraId="5B877B5A" w14:textId="45455913"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drug product is not cytotoxic.</w:t>
      </w:r>
    </w:p>
    <w:p w14:paraId="03EBC2D3" w14:textId="41D2914C"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dose (single or total daily) does not exceed the dose in the labeling of the approved version of the drug product.</w:t>
      </w:r>
    </w:p>
    <w:p w14:paraId="1AC57143" w14:textId="75159E5B"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sponsor meets the requirements for retention of test article samples in 21 CFR 320.31(d)(1).</w:t>
      </w:r>
    </w:p>
    <w:p w14:paraId="757A0051" w14:textId="1D8F650B" w:rsidR="007641E1" w:rsidRDefault="00BF63E8">
      <w:pPr>
        <w:pStyle w:val="PrimarySectionText-HCG"/>
        <w:rPr>
          <w:rFonts w:cs="Arial"/>
          <w:b/>
          <w:bCs/>
        </w:rPr>
      </w:pPr>
      <w:r>
        <w:rPr>
          <w:rFonts w:ascii="Segoe UI Symbol" w:hAnsi="Segoe UI Symbol" w:cs="Segoe UI Symbol"/>
        </w:rPr>
        <w:t>☐</w:t>
      </w:r>
      <w:r>
        <w:rPr>
          <w:rFonts w:cs="Arial"/>
        </w:rPr>
        <w:t xml:space="preserve"> </w:t>
      </w:r>
      <w:r>
        <w:rPr>
          <w:rFonts w:cs="Arial"/>
          <w:b/>
          <w:bCs/>
        </w:rPr>
        <w:t>Category #5 - Radioactive Drugs for Research Use (21 CFR 361.1)</w:t>
      </w:r>
    </w:p>
    <w:p w14:paraId="712891DD" w14:textId="77777777"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drug has been approved by Radioactive Drug Research Committee as a radioactive drug for certain research use under the criteria in 21 CFR 361.1(b)</w:t>
      </w:r>
    </w:p>
    <w:p w14:paraId="4FDB184A" w14:textId="4F12BA3F" w:rsidR="007641E1" w:rsidRDefault="00BF63E8">
      <w:pPr>
        <w:pStyle w:val="PrimarySectionText-HCG"/>
        <w:rPr>
          <w:rFonts w:cs="Arial"/>
        </w:rPr>
      </w:pPr>
      <w:r>
        <w:rPr>
          <w:rFonts w:ascii="Segoe UI Symbol" w:hAnsi="Segoe UI Symbol" w:cs="Segoe UI Symbol"/>
        </w:rPr>
        <w:t>☐</w:t>
      </w:r>
      <w:r>
        <w:rPr>
          <w:rFonts w:cs="Arial"/>
        </w:rPr>
        <w:t xml:space="preserve"> </w:t>
      </w:r>
      <w:r>
        <w:rPr>
          <w:rFonts w:cs="Arial"/>
          <w:b/>
          <w:bCs/>
        </w:rPr>
        <w:t xml:space="preserve">Category #6 - Cold Isotopes for Research Use (FDA enforcement discretion </w:t>
      </w:r>
      <w:r>
        <w:rPr>
          <w:rStyle w:val="EndnoteReference"/>
          <w:rFonts w:cs="Arial"/>
          <w:b/>
          <w:bCs/>
        </w:rPr>
        <w:endnoteReference w:id="10"/>
      </w:r>
      <w:r>
        <w:rPr>
          <w:rFonts w:cs="Arial"/>
          <w:b/>
          <w:bCs/>
        </w:rPr>
        <w:t>)</w:t>
      </w:r>
    </w:p>
    <w:p w14:paraId="4CF39AE6" w14:textId="77777777"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research is intended to obtain basic information regarding the metabolism (including kinetics, distribution, and localization) of a drug labeled with a cold isotope or regarding human physiology, pathophysiology, or biochemistry.</w:t>
      </w:r>
    </w:p>
    <w:p w14:paraId="233FA62D" w14:textId="37A8A076"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research is not intended for immediate therapeutic, diagnostic, or preventive benefit to the study subject.</w:t>
      </w:r>
    </w:p>
    <w:p w14:paraId="5BD6D746" w14:textId="3BA59031"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dose to be administered is known not to cause any clinically detectable pharmacologic effect in humans based on clinical data from published literature or other valid human studies.</w:t>
      </w:r>
    </w:p>
    <w:p w14:paraId="48C16E1F" w14:textId="15969233" w:rsidR="007641E1" w:rsidRDefault="00BF63E8">
      <w:pPr>
        <w:pStyle w:val="Sub-SectionText-HCG"/>
        <w:spacing w:line="276" w:lineRule="auto"/>
        <w:rPr>
          <w:rFonts w:cs="Arial"/>
        </w:rPr>
      </w:pPr>
      <w:r>
        <w:rPr>
          <w:rFonts w:ascii="Segoe UI Symbol" w:hAnsi="Segoe UI Symbol" w:cs="Segoe UI Symbol"/>
        </w:rPr>
        <w:t>☐</w:t>
      </w:r>
      <w:r>
        <w:rPr>
          <w:rFonts w:cs="Arial"/>
        </w:rPr>
        <w:t xml:space="preserve"> The quality of the cold isotope meets relevant quality standard.</w:t>
      </w:r>
    </w:p>
    <w:p w14:paraId="13220BB1" w14:textId="4501F039" w:rsidR="007641E1" w:rsidRDefault="00BF63E8">
      <w:pPr>
        <w:pStyle w:val="SectionHeading-HCG"/>
        <w:numPr>
          <w:ilvl w:val="0"/>
          <w:numId w:val="7"/>
        </w:numPr>
        <w:spacing w:line="276" w:lineRule="auto"/>
        <w:rPr>
          <w:sz w:val="22"/>
          <w:szCs w:val="22"/>
        </w:rPr>
      </w:pPr>
      <w:r>
        <w:rPr>
          <w:sz w:val="22"/>
          <w:szCs w:val="22"/>
        </w:rPr>
        <w:t>IND OVERSIGHT FOR INVESTIGATORS WHO HOLD THE IND (</w:t>
      </w:r>
      <w:r>
        <w:rPr>
          <w:b w:val="0"/>
          <w:bCs w:val="0"/>
        </w:rPr>
        <w:t>Check if “</w:t>
      </w:r>
      <w:r>
        <w:t>Yes</w:t>
      </w:r>
      <w:r>
        <w:rPr>
          <w:b w:val="0"/>
          <w:bCs w:val="0"/>
        </w:rPr>
        <w:t>”. One of the following must be “</w:t>
      </w:r>
      <w:r>
        <w:t>Yes</w:t>
      </w:r>
      <w:r>
        <w:rPr>
          <w:b w:val="0"/>
          <w:bCs w:val="0"/>
        </w:rPr>
        <w:t>” if the investigator holds the IND.)</w:t>
      </w:r>
    </w:p>
    <w:p w14:paraId="5E80E453" w14:textId="3590E806" w:rsidR="007641E1" w:rsidRDefault="00BF63E8">
      <w:pPr>
        <w:pStyle w:val="PrimarySectionText-HCG"/>
        <w:rPr>
          <w:rFonts w:cs="Arial"/>
        </w:rPr>
      </w:pPr>
      <w:r>
        <w:rPr>
          <w:rFonts w:ascii="Segoe UI Symbol" w:hAnsi="Segoe UI Symbol" w:cs="Segoe UI Symbol"/>
        </w:rPr>
        <w:lastRenderedPageBreak/>
        <w:t>☐</w:t>
      </w:r>
      <w:r>
        <w:rPr>
          <w:rFonts w:cs="Arial"/>
        </w:rPr>
        <w:t xml:space="preserve"> The FDA requirements of a sponsor (including GMP when applicable) have been assumed by a contract research organization.</w:t>
      </w:r>
    </w:p>
    <w:p w14:paraId="4E49BD2E" w14:textId="0EC1C70B" w:rsidR="007641E1" w:rsidRDefault="00BF63E8">
      <w:pPr>
        <w:pStyle w:val="PrimarySectionText-HCG"/>
        <w:rPr>
          <w:rFonts w:cs="Arial"/>
        </w:rPr>
      </w:pPr>
      <w:r>
        <w:rPr>
          <w:rFonts w:ascii="Segoe UI Symbol" w:hAnsi="Segoe UI Symbol" w:cs="Segoe UI Symbol"/>
        </w:rPr>
        <w:t>☐</w:t>
      </w:r>
      <w:r>
        <w:rPr>
          <w:rFonts w:cs="Arial"/>
        </w:rPr>
        <w:t xml:space="preserve"> An audit has documented that the investigator is compliant with FDA sponsor requirements (including GMP when applicable).</w:t>
      </w:r>
    </w:p>
    <w:sectPr w:rsidR="007641E1">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093C" w14:textId="77777777" w:rsidR="005F2F5D" w:rsidRDefault="005F2F5D" w:rsidP="00855EE6">
      <w:pPr>
        <w:spacing w:after="0" w:line="240" w:lineRule="auto"/>
      </w:pPr>
      <w:r>
        <w:separator/>
      </w:r>
    </w:p>
  </w:endnote>
  <w:endnote w:type="continuationSeparator" w:id="0">
    <w:p w14:paraId="0807CC42" w14:textId="77777777" w:rsidR="005F2F5D" w:rsidRDefault="005F2F5D" w:rsidP="00855EE6">
      <w:pPr>
        <w:spacing w:after="0" w:line="240" w:lineRule="auto"/>
      </w:pPr>
      <w:r>
        <w:continuationSeparator/>
      </w:r>
    </w:p>
  </w:endnote>
  <w:endnote w:type="continuationNotice" w:id="1">
    <w:p w14:paraId="0EC34E79" w14:textId="77777777" w:rsidR="005F2F5D" w:rsidRDefault="005F2F5D">
      <w:pPr>
        <w:spacing w:after="0" w:line="240" w:lineRule="auto"/>
      </w:pPr>
    </w:p>
  </w:endnote>
  <w:endnote w:id="2">
    <w:p w14:paraId="0A8CD0A9" w14:textId="04AC8A7C" w:rsidR="007641E1" w:rsidRDefault="00BF63E8">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document satisfies AAHRPP elements I.7.A, I.7.B</w:t>
      </w:r>
    </w:p>
  </w:endnote>
  <w:endnote w:id="3">
    <w:p w14:paraId="62B22BF8" w14:textId="77777777" w:rsidR="007641E1" w:rsidRDefault="00BF63E8">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term ‘‘drug’’ means:</w:t>
      </w:r>
    </w:p>
    <w:p w14:paraId="684DA9D3" w14:textId="19F453F5" w:rsidR="007641E1" w:rsidRDefault="00BF63E8">
      <w:pPr>
        <w:pStyle w:val="EndnoteText"/>
        <w:numPr>
          <w:ilvl w:val="0"/>
          <w:numId w:val="10"/>
        </w:numPr>
        <w:rPr>
          <w:rFonts w:ascii="Arial" w:hAnsi="Arial" w:cs="Arial"/>
          <w:sz w:val="18"/>
          <w:szCs w:val="18"/>
        </w:rPr>
      </w:pPr>
      <w:r>
        <w:rPr>
          <w:rFonts w:ascii="Arial" w:hAnsi="Arial" w:cs="Arial"/>
          <w:sz w:val="18"/>
          <w:szCs w:val="18"/>
        </w:rPr>
        <w:t>articles recognized in the official United States Pharmacopoeia, official Homoeopathic Pharmacopoeia of the United States, or official National Formulary, or any supplement to any of them; and</w:t>
      </w:r>
    </w:p>
    <w:p w14:paraId="0678F09A" w14:textId="27F01B5F" w:rsidR="007641E1" w:rsidRDefault="00BF63E8">
      <w:pPr>
        <w:pStyle w:val="EndnoteText"/>
        <w:numPr>
          <w:ilvl w:val="0"/>
          <w:numId w:val="10"/>
        </w:numPr>
        <w:rPr>
          <w:rFonts w:ascii="Arial" w:hAnsi="Arial" w:cs="Arial"/>
          <w:sz w:val="18"/>
          <w:szCs w:val="18"/>
        </w:rPr>
      </w:pPr>
      <w:r>
        <w:rPr>
          <w:rFonts w:ascii="Arial" w:hAnsi="Arial" w:cs="Arial"/>
          <w:sz w:val="18"/>
          <w:szCs w:val="18"/>
        </w:rPr>
        <w:t>articles intended for use in the diagnosis, cure, mitigation, treatment, or prevention of disease in man or other animals; and</w:t>
      </w:r>
    </w:p>
    <w:p w14:paraId="68B2FB77" w14:textId="4156C13C" w:rsidR="007641E1" w:rsidRDefault="00BF63E8">
      <w:pPr>
        <w:pStyle w:val="EndnoteText"/>
        <w:numPr>
          <w:ilvl w:val="0"/>
          <w:numId w:val="10"/>
        </w:numPr>
        <w:rPr>
          <w:rFonts w:ascii="Arial" w:hAnsi="Arial" w:cs="Arial"/>
          <w:sz w:val="18"/>
          <w:szCs w:val="18"/>
        </w:rPr>
      </w:pPr>
      <w:r>
        <w:rPr>
          <w:rFonts w:ascii="Arial" w:hAnsi="Arial" w:cs="Arial"/>
          <w:sz w:val="18"/>
          <w:szCs w:val="18"/>
        </w:rPr>
        <w:t>articles (other than food and dietary supplements) intended to affect the structure or any function of the body of man or other animals; and</w:t>
      </w:r>
    </w:p>
    <w:p w14:paraId="54CEC5A7" w14:textId="383FFDB4" w:rsidR="007641E1" w:rsidRDefault="00BF63E8">
      <w:pPr>
        <w:pStyle w:val="EndnoteText"/>
        <w:numPr>
          <w:ilvl w:val="0"/>
          <w:numId w:val="10"/>
        </w:numPr>
        <w:rPr>
          <w:rFonts w:ascii="Arial" w:hAnsi="Arial" w:cs="Arial"/>
          <w:sz w:val="18"/>
          <w:szCs w:val="18"/>
        </w:rPr>
      </w:pPr>
      <w:r>
        <w:rPr>
          <w:rFonts w:ascii="Arial" w:hAnsi="Arial" w:cs="Arial"/>
          <w:sz w:val="18"/>
          <w:szCs w:val="18"/>
        </w:rPr>
        <w:t>articles intended for use as a component of any article specified in clause (A), (B), or (C).</w:t>
      </w:r>
    </w:p>
  </w:endnote>
  <w:endnote w:id="4">
    <w:p w14:paraId="38EE945E" w14:textId="005D63DD" w:rsidR="007641E1" w:rsidRDefault="00BF63E8">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term “biological product” means a virus, therapeutic serum, toxin, antitoxin, vaccine, blood, blood component or derivative, allergenic product, protein, or analogous product, or arsphenamine or derivative of arsphenamine (or any other trivalent organic arsenic compound), applicable to the prevention, treatment, or cure of a disease or condition of human beings.</w:t>
      </w:r>
    </w:p>
  </w:endnote>
  <w:endnote w:id="5">
    <w:p w14:paraId="600260BA" w14:textId="351182AC" w:rsidR="007641E1" w:rsidRDefault="00BF63E8">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6">
    <w:p w14:paraId="7BF82E0D" w14:textId="77777777" w:rsidR="007641E1" w:rsidRDefault="00BF63E8">
      <w:pPr>
        <w:pStyle w:val="EndnoteText"/>
        <w:rPr>
          <w:rFonts w:ascii="Arial" w:eastAsia="Times New Roman"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is specific to submissions that are part of an application for a research or marketing permit. However, unless otherwise indicated, assume all submissions to FDA meet this requirement.</w:t>
      </w:r>
    </w:p>
  </w:endnote>
  <w:endnote w:id="7">
    <w:p w14:paraId="06AB3488" w14:textId="77777777" w:rsidR="007641E1" w:rsidRDefault="00BF63E8">
      <w:pPr>
        <w:pStyle w:val="EndnoteText"/>
        <w:rPr>
          <w:rFonts w:ascii="Arial" w:eastAsia="Times New Roman" w:hAnsi="Arial" w:cs="Arial"/>
          <w:sz w:val="18"/>
          <w:szCs w:val="18"/>
        </w:rPr>
      </w:pPr>
      <w:r>
        <w:rPr>
          <w:rStyle w:val="EndnoteReference"/>
          <w:rFonts w:ascii="Arial" w:hAnsi="Arial" w:cs="Arial"/>
          <w:sz w:val="18"/>
          <w:szCs w:val="18"/>
        </w:rPr>
        <w:endnoteRef/>
      </w:r>
      <w:r>
        <w:rPr>
          <w:rFonts w:ascii="Arial" w:hAnsi="Arial" w:cs="Arial"/>
          <w:sz w:val="18"/>
          <w:szCs w:val="18"/>
        </w:rPr>
        <w:t xml:space="preserve"> If there are questions about which category is appropriate, have the investigator apply for an IND following 21 CFR §312.23.</w:t>
      </w:r>
    </w:p>
  </w:endnote>
  <w:endnote w:id="8">
    <w:p w14:paraId="66AC7188" w14:textId="77777777" w:rsidR="007641E1" w:rsidRDefault="00BF63E8">
      <w:pPr>
        <w:pStyle w:val="EndnoteText"/>
        <w:rPr>
          <w:rFonts w:ascii="Arial" w:eastAsia="Times New Roman"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expiration dates (if applicable), and the unique code numbers assigned to the investigational products and trial subjects. The investigator must maintain records that document adequately that the subjects are provided the doses specified by the protocol and reconcile all investigational products received from the Sponsor.</w:t>
      </w:r>
    </w:p>
  </w:endnote>
  <w:endnote w:id="9">
    <w:p w14:paraId="144C26DA" w14:textId="2C710AD0" w:rsidR="007641E1" w:rsidRDefault="00BF63E8">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An in vitro diagnostic (IVD) products are those reagents, instruments, and systems intended for use in the diagnosis of disease or other conditions, including a determination of the state of health, in order to cure, mitigate, treat, or prevent disease or its sequelae. Such products are intended for use in the collection, preparation, and examination of specimens taken from the human body. IVD products are devices as defined in section 201(h) of the Act and may also be biological products subject to section 351 of the Public Health Service Act.</w:t>
      </w:r>
    </w:p>
  </w:endnote>
  <w:endnote w:id="10">
    <w:p w14:paraId="52374960" w14:textId="11EED3BD" w:rsidR="007641E1" w:rsidRDefault="00BF63E8">
      <w:pPr>
        <w:pStyle w:val="EndnoteText"/>
      </w:pPr>
      <w:r>
        <w:rPr>
          <w:rStyle w:val="EndnoteReference"/>
          <w:rFonts w:ascii="Arial" w:hAnsi="Arial" w:cs="Arial"/>
          <w:sz w:val="18"/>
          <w:szCs w:val="18"/>
        </w:rPr>
        <w:endnoteRef/>
      </w:r>
      <w:r>
        <w:rPr>
          <w:rFonts w:ascii="Arial" w:hAnsi="Arial" w:cs="Arial"/>
          <w:sz w:val="18"/>
          <w:szCs w:val="18"/>
        </w:rPr>
        <w:t xml:space="preserve"> (FDA Guidance for Clinical Investigators, Sponsors, and IRBs Investigational New Drug Applications (INDs)) Determining Whether Human Research Studies Can Be Conducted Without an IND, September 2013: </w:t>
      </w:r>
      <w:hyperlink r:id="rId1" w:history="1">
        <w:r>
          <w:rPr>
            <w:rStyle w:val="Hyperlink"/>
            <w:rFonts w:ascii="Arial" w:hAnsi="Arial" w:cs="Arial"/>
            <w:sz w:val="18"/>
            <w:szCs w:val="18"/>
          </w:rPr>
          <w:t>https://www.fda.gov/downloads/drugs/guidances/ucm229175.pdf</w:t>
        </w:r>
      </w:hyperlink>
      <w:r>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2B57" w14:textId="61C2157F" w:rsidR="007641E1" w:rsidRDefault="00BF63E8">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058419E" w14:textId="212368E5" w:rsidR="007641E1" w:rsidRDefault="007641E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DB3C" w14:textId="77777777" w:rsidR="007641E1" w:rsidRDefault="00BF63E8">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720C4D0" w14:textId="4D0826C0" w:rsidR="007641E1" w:rsidRDefault="007641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4B54" w14:textId="77777777" w:rsidR="005F2F5D" w:rsidRDefault="005F2F5D" w:rsidP="00855EE6">
      <w:pPr>
        <w:spacing w:after="0" w:line="240" w:lineRule="auto"/>
      </w:pPr>
      <w:r>
        <w:separator/>
      </w:r>
    </w:p>
  </w:footnote>
  <w:footnote w:type="continuationSeparator" w:id="0">
    <w:p w14:paraId="41951425" w14:textId="77777777" w:rsidR="005F2F5D" w:rsidRDefault="005F2F5D" w:rsidP="00855EE6">
      <w:pPr>
        <w:spacing w:after="0" w:line="240" w:lineRule="auto"/>
      </w:pPr>
      <w:r>
        <w:continuationSeparator/>
      </w:r>
    </w:p>
  </w:footnote>
  <w:footnote w:type="continuationNotice" w:id="1">
    <w:p w14:paraId="274FACEA" w14:textId="77777777" w:rsidR="005F2F5D" w:rsidRDefault="005F2F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20BE" w14:textId="4F0486AC" w:rsidR="007641E1" w:rsidRDefault="007641E1">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3919" w14:textId="2D65856B" w:rsidR="007641E1" w:rsidRDefault="009231B4">
    <w:pPr>
      <w:pStyle w:val="Header"/>
      <w:jc w:val="center"/>
    </w:pPr>
    <w:r>
      <w:rPr>
        <w:noProof/>
      </w:rPr>
      <w:drawing>
        <wp:inline distT="0" distB="0" distL="0" distR="0" wp14:anchorId="2ABC2D45" wp14:editId="102169EA">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CC7EE2"/>
    <w:multiLevelType w:val="hybridMultilevel"/>
    <w:tmpl w:val="36F8558A"/>
    <w:lvl w:ilvl="0" w:tplc="B6CC2F26">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CE657B"/>
    <w:multiLevelType w:val="hybridMultilevel"/>
    <w:tmpl w:val="723AB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cs="Times New Roman"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cs="Times New Roman"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cs="Times New Roman"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cs="Times New Roman" w:hint="eastAsia"/>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lvl>
    <w:lvl w:ilvl="5">
      <w:start w:val="1"/>
      <w:numFmt w:val="decimal"/>
      <w:lvlText w:val="%1.%2.%3.%4.%5.%6"/>
      <w:lvlJc w:val="left"/>
      <w:pPr>
        <w:tabs>
          <w:tab w:val="num" w:pos="7200"/>
        </w:tabs>
        <w:ind w:left="7200" w:hanging="187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B8876BA"/>
    <w:multiLevelType w:val="hybridMultilevel"/>
    <w:tmpl w:val="037A9C5E"/>
    <w:lvl w:ilvl="0" w:tplc="A6CC4AB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A01BB"/>
    <w:multiLevelType w:val="hybridMultilevel"/>
    <w:tmpl w:val="E6DE8784"/>
    <w:lvl w:ilvl="0" w:tplc="7666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37B39"/>
    <w:multiLevelType w:val="hybridMultilevel"/>
    <w:tmpl w:val="05E6C0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2182F"/>
    <w:multiLevelType w:val="hybridMultilevel"/>
    <w:tmpl w:val="F76E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759601">
    <w:abstractNumId w:val="1"/>
  </w:num>
  <w:num w:numId="2" w16cid:durableId="485979390">
    <w:abstractNumId w:val="7"/>
  </w:num>
  <w:num w:numId="3" w16cid:durableId="1176766229">
    <w:abstractNumId w:val="0"/>
  </w:num>
  <w:num w:numId="4" w16cid:durableId="1298956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4639">
    <w:abstractNumId w:val="6"/>
  </w:num>
  <w:num w:numId="6" w16cid:durableId="1625624162">
    <w:abstractNumId w:val="9"/>
  </w:num>
  <w:num w:numId="7" w16cid:durableId="490559870">
    <w:abstractNumId w:val="3"/>
  </w:num>
  <w:num w:numId="8" w16cid:durableId="54477510">
    <w:abstractNumId w:val="8"/>
  </w:num>
  <w:num w:numId="9" w16cid:durableId="1364600619">
    <w:abstractNumId w:val="5"/>
  </w:num>
  <w:num w:numId="10" w16cid:durableId="2006010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04C13"/>
    <w:rsid w:val="00063436"/>
    <w:rsid w:val="00073852"/>
    <w:rsid w:val="0007512F"/>
    <w:rsid w:val="00082AFF"/>
    <w:rsid w:val="00090E8B"/>
    <w:rsid w:val="00095BC7"/>
    <w:rsid w:val="000E220B"/>
    <w:rsid w:val="000F5F1B"/>
    <w:rsid w:val="00112F1A"/>
    <w:rsid w:val="00150F7C"/>
    <w:rsid w:val="00156D23"/>
    <w:rsid w:val="00170F88"/>
    <w:rsid w:val="001C5CD8"/>
    <w:rsid w:val="001D6859"/>
    <w:rsid w:val="001E6EA8"/>
    <w:rsid w:val="001F0317"/>
    <w:rsid w:val="001F5F89"/>
    <w:rsid w:val="001F6AEF"/>
    <w:rsid w:val="00214356"/>
    <w:rsid w:val="00216912"/>
    <w:rsid w:val="0022613F"/>
    <w:rsid w:val="0024381C"/>
    <w:rsid w:val="00270A20"/>
    <w:rsid w:val="00272E9B"/>
    <w:rsid w:val="0029278A"/>
    <w:rsid w:val="002976CB"/>
    <w:rsid w:val="002A0DD4"/>
    <w:rsid w:val="002B681F"/>
    <w:rsid w:val="00322730"/>
    <w:rsid w:val="00326970"/>
    <w:rsid w:val="0035722D"/>
    <w:rsid w:val="00383640"/>
    <w:rsid w:val="003E5AE2"/>
    <w:rsid w:val="003F727A"/>
    <w:rsid w:val="00413B76"/>
    <w:rsid w:val="00420ABF"/>
    <w:rsid w:val="00433C87"/>
    <w:rsid w:val="00464FA9"/>
    <w:rsid w:val="00484B9F"/>
    <w:rsid w:val="004A5402"/>
    <w:rsid w:val="004B05DE"/>
    <w:rsid w:val="00512CDD"/>
    <w:rsid w:val="00534ECB"/>
    <w:rsid w:val="00535785"/>
    <w:rsid w:val="00545188"/>
    <w:rsid w:val="00555522"/>
    <w:rsid w:val="00574247"/>
    <w:rsid w:val="00593B6E"/>
    <w:rsid w:val="00594A69"/>
    <w:rsid w:val="005F2F5D"/>
    <w:rsid w:val="00612FDA"/>
    <w:rsid w:val="0062282F"/>
    <w:rsid w:val="00625EFE"/>
    <w:rsid w:val="00636276"/>
    <w:rsid w:val="00650A58"/>
    <w:rsid w:val="00675EB8"/>
    <w:rsid w:val="0069057F"/>
    <w:rsid w:val="006C3173"/>
    <w:rsid w:val="006D056E"/>
    <w:rsid w:val="006E754F"/>
    <w:rsid w:val="006F23D2"/>
    <w:rsid w:val="00724781"/>
    <w:rsid w:val="007469E0"/>
    <w:rsid w:val="007641E1"/>
    <w:rsid w:val="007912B3"/>
    <w:rsid w:val="007B5D72"/>
    <w:rsid w:val="007C33EE"/>
    <w:rsid w:val="00821C23"/>
    <w:rsid w:val="0084152D"/>
    <w:rsid w:val="008424AD"/>
    <w:rsid w:val="00855EE6"/>
    <w:rsid w:val="0086083E"/>
    <w:rsid w:val="00872DA6"/>
    <w:rsid w:val="00893D51"/>
    <w:rsid w:val="008B0231"/>
    <w:rsid w:val="008B19E6"/>
    <w:rsid w:val="008B32E5"/>
    <w:rsid w:val="008B3D20"/>
    <w:rsid w:val="008E54A4"/>
    <w:rsid w:val="00914425"/>
    <w:rsid w:val="00917358"/>
    <w:rsid w:val="009231B4"/>
    <w:rsid w:val="00926535"/>
    <w:rsid w:val="00933B0E"/>
    <w:rsid w:val="0093623D"/>
    <w:rsid w:val="00952787"/>
    <w:rsid w:val="009558BA"/>
    <w:rsid w:val="00972B4F"/>
    <w:rsid w:val="009C1EE8"/>
    <w:rsid w:val="00A3205A"/>
    <w:rsid w:val="00A56818"/>
    <w:rsid w:val="00A64880"/>
    <w:rsid w:val="00AA4BF9"/>
    <w:rsid w:val="00AB4B74"/>
    <w:rsid w:val="00AC1B56"/>
    <w:rsid w:val="00AC2F0C"/>
    <w:rsid w:val="00AD4F0D"/>
    <w:rsid w:val="00B23768"/>
    <w:rsid w:val="00B23D93"/>
    <w:rsid w:val="00B40009"/>
    <w:rsid w:val="00B54DF7"/>
    <w:rsid w:val="00B61F4A"/>
    <w:rsid w:val="00B62C08"/>
    <w:rsid w:val="00BB2AC7"/>
    <w:rsid w:val="00BD5778"/>
    <w:rsid w:val="00BE5688"/>
    <w:rsid w:val="00BF2F85"/>
    <w:rsid w:val="00BF63E8"/>
    <w:rsid w:val="00C11900"/>
    <w:rsid w:val="00C75CAF"/>
    <w:rsid w:val="00C85B14"/>
    <w:rsid w:val="00CA076B"/>
    <w:rsid w:val="00CB0150"/>
    <w:rsid w:val="00CB0F42"/>
    <w:rsid w:val="00CC35CE"/>
    <w:rsid w:val="00CC6BE4"/>
    <w:rsid w:val="00CE2612"/>
    <w:rsid w:val="00CF1142"/>
    <w:rsid w:val="00CF557C"/>
    <w:rsid w:val="00D134E0"/>
    <w:rsid w:val="00D35E6A"/>
    <w:rsid w:val="00DB3FCE"/>
    <w:rsid w:val="00DF75DE"/>
    <w:rsid w:val="00E0288C"/>
    <w:rsid w:val="00E33C34"/>
    <w:rsid w:val="00E34769"/>
    <w:rsid w:val="00E427A8"/>
    <w:rsid w:val="00E504AC"/>
    <w:rsid w:val="00EA6624"/>
    <w:rsid w:val="00EB659A"/>
    <w:rsid w:val="00EE39FA"/>
    <w:rsid w:val="00EF642F"/>
    <w:rsid w:val="00F116D8"/>
    <w:rsid w:val="00F25438"/>
    <w:rsid w:val="00F40567"/>
    <w:rsid w:val="00F84AEF"/>
    <w:rsid w:val="00FA6F1C"/>
    <w:rsid w:val="00FB7ECE"/>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semiHidden/>
    <w:unhideWhenUsed/>
    <w:pPr>
      <w:spacing w:after="0" w:line="240" w:lineRule="auto"/>
    </w:pPr>
    <w:rPr>
      <w:sz w:val="20"/>
      <w:szCs w:val="20"/>
    </w:rPr>
  </w:style>
  <w:style w:type="character" w:customStyle="1" w:styleId="EndnoteTextChar">
    <w:name w:val="Endnote Text Char"/>
    <w:basedOn w:val="DefaultParagraphFont"/>
    <w:link w:val="EndnoteText"/>
    <w:semiHidden/>
    <w:rPr>
      <w:sz w:val="20"/>
      <w:szCs w:val="20"/>
    </w:rPr>
  </w:style>
  <w:style w:type="character" w:styleId="EndnoteReference">
    <w:name w:val="endnote reference"/>
    <w:basedOn w:val="DefaultParagraphFont"/>
    <w:semiHidden/>
    <w:unhideWhenUsed/>
    <w:rPr>
      <w:vertAlign w:val="superscript"/>
    </w:rPr>
  </w:style>
  <w:style w:type="paragraph" w:customStyle="1" w:styleId="ChecklistLevel1">
    <w:name w:val="Checklist Level 1"/>
    <w:basedOn w:val="Normal"/>
    <w:pPr>
      <w:numPr>
        <w:numId w:val="4"/>
      </w:numPr>
      <w:tabs>
        <w:tab w:val="left" w:pos="360"/>
      </w:tabs>
      <w:spacing w:after="0" w:line="240" w:lineRule="auto"/>
      <w:ind w:left="360" w:hanging="360"/>
    </w:pPr>
    <w:rPr>
      <w:rFonts w:ascii="Arial Narrow" w:eastAsia="Times New Roman" w:hAnsi="Arial Narrow" w:cs="Times New Roman"/>
      <w:b/>
      <w:sz w:val="20"/>
      <w:szCs w:val="24"/>
    </w:rPr>
  </w:style>
  <w:style w:type="paragraph" w:customStyle="1" w:styleId="ChecklistLevel2">
    <w:name w:val="Checklist Level 2"/>
    <w:basedOn w:val="ChecklistLevel1"/>
    <w:pPr>
      <w:numPr>
        <w:ilvl w:val="1"/>
      </w:numPr>
      <w:tabs>
        <w:tab w:val="clear" w:pos="360"/>
        <w:tab w:val="left" w:pos="720"/>
      </w:tabs>
      <w:ind w:left="720"/>
    </w:pPr>
    <w:rPr>
      <w:b w:val="0"/>
    </w:rPr>
  </w:style>
  <w:style w:type="paragraph" w:customStyle="1" w:styleId="ChecklistLevel3">
    <w:name w:val="Checklist Level 3"/>
    <w:basedOn w:val="ChecklistLevel2"/>
    <w:pPr>
      <w:numPr>
        <w:ilvl w:val="2"/>
      </w:numPr>
      <w:tabs>
        <w:tab w:val="clear" w:pos="720"/>
        <w:tab w:val="left" w:pos="1728"/>
      </w:tabs>
      <w:ind w:left="1728"/>
    </w:pPr>
  </w:style>
  <w:style w:type="paragraph" w:customStyle="1" w:styleId="ChecklistLevel4">
    <w:name w:val="Checklist Level 4"/>
    <w:basedOn w:val="ChecklistLevel3"/>
    <w:pPr>
      <w:numPr>
        <w:ilvl w:val="3"/>
      </w:numPr>
      <w:tabs>
        <w:tab w:val="clear" w:pos="1728"/>
        <w:tab w:val="left" w:pos="3024"/>
      </w:tabs>
      <w:ind w:left="3024"/>
    </w:pPr>
  </w:style>
  <w:style w:type="character" w:customStyle="1" w:styleId="StatementLevel1Char">
    <w:name w:val="Statement Level 1 Char"/>
    <w:link w:val="StatementLevel1"/>
    <w:locked/>
    <w:rPr>
      <w:rFonts w:ascii="Arial Narrow" w:eastAsia="Times New Roman" w:hAnsi="Arial Narrow" w:cs="Times New Roman"/>
      <w:sz w:val="20"/>
      <w:szCs w:val="24"/>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drugs/guidances/ucm22917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2.xml><?xml version="1.0" encoding="utf-8"?>
<ds:datastoreItem xmlns:ds="http://schemas.openxmlformats.org/officeDocument/2006/customXml" ds:itemID="{89A00E8E-EEFF-4B8A-A868-94E2AC0D6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4.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5.xml><?xml version="1.0" encoding="utf-8"?>
<ds:datastoreItem xmlns:ds="http://schemas.openxmlformats.org/officeDocument/2006/customXml" ds:itemID="{FDD94FB3-B034-47D2-8A3E-418F401558BF}">
  <ds:schemaRefs>
    <ds:schemaRef ds:uri="http://schemas.openxmlformats.org/package/2006/metadata/core-properties"/>
    <ds:schemaRef ds:uri="http://schemas.microsoft.com/office/2006/documentManagement/types"/>
    <ds:schemaRef ds:uri="http://purl.org/dc/terms/"/>
    <ds:schemaRef ds:uri="http://purl.org/dc/dcmitype/"/>
    <ds:schemaRef ds:uri="8c515ec7-3e6c-4e38-8eb4-62fcbe95786e"/>
    <ds:schemaRef ds:uri="http://schemas.microsoft.com/office/2006/metadata/properties"/>
    <ds:schemaRef ds:uri="http://schemas.microsoft.com/office/infopath/2007/PartnerControls"/>
    <ds:schemaRef ds:uri="http://purl.org/dc/elements/1.1/"/>
    <ds:schemaRef ds:uri="07b1ed27-4a09-479f-8bd2-5a0f6f9bbe93"/>
    <ds:schemaRef ds:uri="http://www.w3.org/XML/1998/namespace"/>
    <ds:schemaRef ds:uri="1579911c-bdaf-451f-a2a5-b0bf60d62469"/>
    <ds:schemaRef ds:uri="33dbec29-ad9d-425b-b8d5-174aba9b3c6b"/>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32</cp:revision>
  <dcterms:created xsi:type="dcterms:W3CDTF">2022-06-15T00:24:00Z</dcterms:created>
  <dcterms:modified xsi:type="dcterms:W3CDTF">2023-09-12T17:33:00Z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