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FF9F1" w14:textId="78F9BBD8" w:rsidR="008920EA" w:rsidRDefault="00FC14F5">
      <w:pPr>
        <w:pStyle w:val="PrimarySectionTextNohangingindent-HCG"/>
      </w:pPr>
      <w:r w:rsidRPr="002B378E">
        <w:t>HRP-</w:t>
      </w:r>
      <w:r w:rsidR="005D01FE" w:rsidRPr="002B378E">
        <w:t>093</w:t>
      </w:r>
      <w:r w:rsidRPr="002B378E">
        <w:t xml:space="preserve"> |</w:t>
      </w:r>
      <w:r w:rsidR="002B378E">
        <w:t xml:space="preserve"> 07/31/2024 </w:t>
      </w:r>
      <w:r>
        <w:t xml:space="preserve">| Author: </w:t>
      </w:r>
      <w:r w:rsidR="00CE4D57">
        <w:t>Jennifer L. Robinson, Ph.D.</w:t>
      </w:r>
      <w:r>
        <w:t xml:space="preserve">  | Approver:   </w:t>
      </w:r>
      <w:r w:rsidR="00CE4D57">
        <w:t>Niki Johnson</w:t>
      </w:r>
    </w:p>
    <w:p w14:paraId="30BBEED7" w14:textId="77777777" w:rsidR="008920EA" w:rsidRDefault="008920EA">
      <w:pPr>
        <w:spacing w:after="0"/>
      </w:pPr>
    </w:p>
    <w:p w14:paraId="55F8BD4C" w14:textId="029D0C82" w:rsidR="008920EA" w:rsidRPr="00E11DAF" w:rsidRDefault="00FC14F5" w:rsidP="00E11DAF">
      <w:pPr>
        <w:pStyle w:val="DocumentTitle-HCG"/>
        <w:rPr>
          <w:szCs w:val="32"/>
        </w:rPr>
      </w:pPr>
      <w:r>
        <w:rPr>
          <w:szCs w:val="32"/>
        </w:rPr>
        <w:t xml:space="preserve">SOP: </w:t>
      </w:r>
      <w:r w:rsidR="00CE4D57">
        <w:rPr>
          <w:szCs w:val="32"/>
        </w:rPr>
        <w:t>HUMAN RESEARCH DETERMINATION</w:t>
      </w:r>
    </w:p>
    <w:p w14:paraId="5EF988B5" w14:textId="77777777" w:rsidR="008920EA" w:rsidRDefault="00FC14F5">
      <w:pPr>
        <w:pStyle w:val="SOPLevel1"/>
        <w:spacing w:line="276" w:lineRule="auto"/>
        <w:rPr>
          <w:rFonts w:cs="Arial"/>
          <w:sz w:val="22"/>
          <w:szCs w:val="22"/>
        </w:rPr>
      </w:pPr>
      <w:r>
        <w:rPr>
          <w:rFonts w:cs="Arial"/>
          <w:sz w:val="22"/>
          <w:szCs w:val="22"/>
        </w:rPr>
        <w:t>PURPOSE</w:t>
      </w:r>
    </w:p>
    <w:p w14:paraId="6D385374" w14:textId="77777777" w:rsidR="00CE4D57" w:rsidRDefault="00CE4D57">
      <w:pPr>
        <w:pStyle w:val="SOPLevel2"/>
        <w:spacing w:line="276" w:lineRule="auto"/>
        <w:rPr>
          <w:rFonts w:cs="Arial"/>
          <w:sz w:val="22"/>
          <w:szCs w:val="22"/>
        </w:rPr>
      </w:pPr>
      <w:r w:rsidRPr="00CE4D57">
        <w:rPr>
          <w:rFonts w:cs="Arial"/>
          <w:sz w:val="22"/>
          <w:szCs w:val="22"/>
        </w:rPr>
        <w:t xml:space="preserve">This SOP establishes the process to determine which activities require </w:t>
      </w:r>
      <w:r>
        <w:rPr>
          <w:rFonts w:cs="Arial"/>
          <w:sz w:val="22"/>
          <w:szCs w:val="22"/>
        </w:rPr>
        <w:t>Auburn University</w:t>
      </w:r>
      <w:r w:rsidRPr="00CE4D57">
        <w:rPr>
          <w:rFonts w:cs="Arial"/>
          <w:sz w:val="22"/>
          <w:szCs w:val="22"/>
        </w:rPr>
        <w:t xml:space="preserve"> Institutional Review Board review. </w:t>
      </w:r>
    </w:p>
    <w:p w14:paraId="357879CA" w14:textId="77777777" w:rsidR="00CE4D57" w:rsidRDefault="00CE4D57">
      <w:pPr>
        <w:pStyle w:val="SOPLevel2"/>
        <w:spacing w:line="276" w:lineRule="auto"/>
        <w:rPr>
          <w:rFonts w:cs="Arial"/>
          <w:sz w:val="22"/>
          <w:szCs w:val="22"/>
        </w:rPr>
      </w:pPr>
      <w:r w:rsidRPr="00CE4D57">
        <w:rPr>
          <w:rFonts w:cs="Arial"/>
          <w:sz w:val="22"/>
          <w:szCs w:val="22"/>
        </w:rPr>
        <w:t xml:space="preserve">The SOP begins when planning or preparing for any </w:t>
      </w:r>
      <w:r w:rsidRPr="00CE4D57">
        <w:rPr>
          <w:rFonts w:cs="Arial"/>
          <w:sz w:val="22"/>
          <w:szCs w:val="22"/>
          <w:u w:val="double"/>
        </w:rPr>
        <w:t>research</w:t>
      </w:r>
      <w:r w:rsidRPr="00CE4D57">
        <w:rPr>
          <w:rFonts w:cs="Arial"/>
          <w:sz w:val="22"/>
          <w:szCs w:val="22"/>
        </w:rPr>
        <w:t xml:space="preserve"> activity or clinical investigation activity that involves human subjects.</w:t>
      </w:r>
    </w:p>
    <w:p w14:paraId="6BA2EC2D" w14:textId="5C0DA407" w:rsidR="008920EA" w:rsidRPr="00CE4D57" w:rsidRDefault="00CE4D57" w:rsidP="00CE4D57">
      <w:pPr>
        <w:pStyle w:val="SOPLevel2"/>
        <w:spacing w:line="276" w:lineRule="auto"/>
        <w:rPr>
          <w:rFonts w:cs="Arial"/>
          <w:sz w:val="22"/>
          <w:szCs w:val="22"/>
        </w:rPr>
      </w:pPr>
      <w:r w:rsidRPr="00CE4D57">
        <w:rPr>
          <w:rFonts w:cs="Arial"/>
          <w:sz w:val="22"/>
          <w:szCs w:val="22"/>
        </w:rPr>
        <w:t xml:space="preserve">The SOP ends when IRB involvement in the </w:t>
      </w:r>
      <w:r>
        <w:rPr>
          <w:rFonts w:cs="Arial"/>
          <w:sz w:val="22"/>
          <w:szCs w:val="22"/>
        </w:rPr>
        <w:t>Auburn University</w:t>
      </w:r>
      <w:r w:rsidRPr="00CE4D57">
        <w:rPr>
          <w:rFonts w:cs="Arial"/>
          <w:sz w:val="22"/>
          <w:szCs w:val="22"/>
        </w:rPr>
        <w:t xml:space="preserve"> research or clinical investigation activity is determined.  </w:t>
      </w:r>
    </w:p>
    <w:p w14:paraId="2F59A332" w14:textId="77777777" w:rsidR="008920EA" w:rsidRDefault="00FC14F5">
      <w:pPr>
        <w:pStyle w:val="SOPLevel1"/>
        <w:rPr>
          <w:sz w:val="22"/>
          <w:szCs w:val="22"/>
        </w:rPr>
      </w:pPr>
      <w:r>
        <w:rPr>
          <w:sz w:val="22"/>
          <w:szCs w:val="22"/>
        </w:rPr>
        <w:t>REVISIONS FROM PREVIOUS VERSION</w:t>
      </w:r>
    </w:p>
    <w:p w14:paraId="1CD68A5C" w14:textId="4B242421" w:rsidR="008920EA" w:rsidRDefault="00CE4D57">
      <w:pPr>
        <w:pStyle w:val="SOPLevel2"/>
        <w:spacing w:line="276" w:lineRule="auto"/>
        <w:rPr>
          <w:rFonts w:cs="Arial"/>
          <w:sz w:val="22"/>
          <w:szCs w:val="22"/>
        </w:rPr>
      </w:pPr>
      <w:r>
        <w:rPr>
          <w:rFonts w:cs="Arial"/>
          <w:sz w:val="22"/>
          <w:szCs w:val="22"/>
        </w:rPr>
        <w:t>None.</w:t>
      </w:r>
    </w:p>
    <w:p w14:paraId="6D86B30D" w14:textId="77777777" w:rsidR="008920EA" w:rsidRDefault="00FC14F5">
      <w:pPr>
        <w:pStyle w:val="SOPLevel1"/>
        <w:spacing w:line="276" w:lineRule="auto"/>
        <w:rPr>
          <w:rFonts w:cs="Arial"/>
          <w:sz w:val="22"/>
          <w:szCs w:val="22"/>
        </w:rPr>
      </w:pPr>
      <w:r>
        <w:rPr>
          <w:rFonts w:cs="Arial"/>
          <w:sz w:val="22"/>
          <w:szCs w:val="22"/>
        </w:rPr>
        <w:t>POLICY</w:t>
      </w:r>
    </w:p>
    <w:p w14:paraId="1539FE7F" w14:textId="77777777" w:rsidR="00CE4D57" w:rsidRDefault="00CE4D57">
      <w:pPr>
        <w:pStyle w:val="SOPLevel2"/>
        <w:spacing w:line="276" w:lineRule="auto"/>
        <w:rPr>
          <w:rFonts w:cs="Arial"/>
          <w:sz w:val="22"/>
          <w:szCs w:val="22"/>
        </w:rPr>
      </w:pPr>
      <w:r w:rsidRPr="00CE4D57">
        <w:rPr>
          <w:rFonts w:cs="Arial"/>
          <w:sz w:val="22"/>
          <w:szCs w:val="22"/>
        </w:rPr>
        <w:t xml:space="preserve">This SOP covers all </w:t>
      </w:r>
      <w:r w:rsidRPr="00CE4D57">
        <w:rPr>
          <w:rFonts w:cs="Arial"/>
          <w:sz w:val="22"/>
          <w:szCs w:val="22"/>
          <w:u w:val="double"/>
        </w:rPr>
        <w:t>human subjects</w:t>
      </w:r>
      <w:r w:rsidRPr="00CE4D57">
        <w:rPr>
          <w:rFonts w:cs="Arial"/>
          <w:sz w:val="22"/>
          <w:szCs w:val="22"/>
        </w:rPr>
        <w:t xml:space="preserve">’ </w:t>
      </w:r>
      <w:r w:rsidRPr="00CE4D57">
        <w:rPr>
          <w:rFonts w:cs="Arial"/>
          <w:sz w:val="22"/>
          <w:szCs w:val="22"/>
          <w:u w:val="double"/>
        </w:rPr>
        <w:t>research</w:t>
      </w:r>
      <w:r w:rsidRPr="00CE4D57">
        <w:rPr>
          <w:rFonts w:cs="Arial"/>
          <w:sz w:val="22"/>
          <w:szCs w:val="22"/>
        </w:rPr>
        <w:t xml:space="preserve"> including </w:t>
      </w:r>
      <w:r>
        <w:rPr>
          <w:rFonts w:cs="Arial"/>
          <w:sz w:val="22"/>
          <w:szCs w:val="22"/>
        </w:rPr>
        <w:t>preparation for research activities</w:t>
      </w:r>
      <w:r w:rsidRPr="00CE4D57">
        <w:rPr>
          <w:rFonts w:cs="Arial"/>
          <w:sz w:val="22"/>
          <w:szCs w:val="22"/>
        </w:rPr>
        <w:t xml:space="preserve"> to </w:t>
      </w:r>
      <w:r>
        <w:rPr>
          <w:rFonts w:cs="Arial"/>
          <w:sz w:val="22"/>
          <w:szCs w:val="22"/>
        </w:rPr>
        <w:t xml:space="preserve">engagement in </w:t>
      </w:r>
      <w:r w:rsidRPr="00CE4D57">
        <w:rPr>
          <w:rFonts w:cs="Arial"/>
          <w:sz w:val="22"/>
          <w:szCs w:val="22"/>
        </w:rPr>
        <w:t xml:space="preserve">research activities that involve </w:t>
      </w:r>
      <w:r w:rsidRPr="00CE4D57">
        <w:rPr>
          <w:rFonts w:cs="Arial"/>
          <w:sz w:val="22"/>
          <w:szCs w:val="22"/>
          <w:u w:val="double"/>
        </w:rPr>
        <w:t>interventions</w:t>
      </w:r>
      <w:r w:rsidRPr="00CE4D57">
        <w:rPr>
          <w:rFonts w:cs="Arial"/>
          <w:sz w:val="22"/>
          <w:szCs w:val="22"/>
        </w:rPr>
        <w:t xml:space="preserve"> or </w:t>
      </w:r>
      <w:r w:rsidRPr="00CE4D57">
        <w:rPr>
          <w:rFonts w:cs="Arial"/>
          <w:sz w:val="22"/>
          <w:szCs w:val="22"/>
          <w:u w:val="double"/>
        </w:rPr>
        <w:t>interactions</w:t>
      </w:r>
      <w:r w:rsidRPr="00CE4D57">
        <w:rPr>
          <w:rFonts w:cs="Arial"/>
          <w:sz w:val="22"/>
          <w:szCs w:val="22"/>
        </w:rPr>
        <w:t xml:space="preserve"> with living individuals (e.g. advertising, recruitment, and/or screening of potential </w:t>
      </w:r>
      <w:r w:rsidRPr="00CE4D57">
        <w:rPr>
          <w:rFonts w:cs="Arial"/>
          <w:sz w:val="22"/>
          <w:szCs w:val="22"/>
          <w:u w:val="double"/>
        </w:rPr>
        <w:t>subjects</w:t>
      </w:r>
      <w:r w:rsidRPr="00CE4D57">
        <w:rPr>
          <w:rFonts w:cs="Arial"/>
          <w:sz w:val="22"/>
          <w:szCs w:val="22"/>
        </w:rPr>
        <w:t xml:space="preserve"> for </w:t>
      </w:r>
      <w:r w:rsidRPr="00CE4D57">
        <w:rPr>
          <w:rFonts w:cs="Arial"/>
          <w:sz w:val="22"/>
          <w:szCs w:val="22"/>
          <w:u w:val="double"/>
        </w:rPr>
        <w:t>research</w:t>
      </w:r>
      <w:r w:rsidRPr="00CE4D57">
        <w:rPr>
          <w:rFonts w:cs="Arial"/>
          <w:sz w:val="22"/>
          <w:szCs w:val="22"/>
        </w:rPr>
        <w:t xml:space="preserve">) and/or accessing or obtaining </w:t>
      </w:r>
      <w:r w:rsidRPr="00CE4D57">
        <w:rPr>
          <w:rFonts w:cs="Arial"/>
          <w:sz w:val="22"/>
          <w:szCs w:val="22"/>
          <w:u w:val="double"/>
        </w:rPr>
        <w:t>identifiable</w:t>
      </w:r>
      <w:r w:rsidRPr="00CE4D57">
        <w:rPr>
          <w:rFonts w:cs="Arial"/>
          <w:sz w:val="22"/>
          <w:szCs w:val="22"/>
        </w:rPr>
        <w:t xml:space="preserve">, private information or biospecimens from or about living individuals for the purpose of conducting </w:t>
      </w:r>
      <w:r w:rsidRPr="00CE4D57">
        <w:rPr>
          <w:rFonts w:cs="Arial"/>
          <w:sz w:val="22"/>
          <w:szCs w:val="22"/>
          <w:u w:val="double"/>
        </w:rPr>
        <w:t>research</w:t>
      </w:r>
      <w:r w:rsidRPr="00CE4D57">
        <w:rPr>
          <w:rFonts w:cs="Arial"/>
          <w:sz w:val="22"/>
          <w:szCs w:val="22"/>
        </w:rPr>
        <w:t xml:space="preserve"> (e.g., review of existing records). </w:t>
      </w:r>
    </w:p>
    <w:p w14:paraId="21174A28" w14:textId="77777777" w:rsidR="00CE4D57" w:rsidRDefault="00CE4D57">
      <w:pPr>
        <w:pStyle w:val="SOPLevel2"/>
        <w:spacing w:line="276" w:lineRule="auto"/>
        <w:rPr>
          <w:rFonts w:cs="Arial"/>
          <w:sz w:val="22"/>
          <w:szCs w:val="22"/>
        </w:rPr>
      </w:pPr>
      <w:r w:rsidRPr="00CE4D57">
        <w:rPr>
          <w:rFonts w:cs="Arial"/>
          <w:sz w:val="22"/>
          <w:szCs w:val="22"/>
        </w:rPr>
        <w:t xml:space="preserve">In this SOP, </w:t>
      </w:r>
      <w:r w:rsidRPr="00CE4D57">
        <w:rPr>
          <w:rFonts w:cs="Arial"/>
          <w:sz w:val="22"/>
          <w:szCs w:val="22"/>
          <w:u w:val="double"/>
        </w:rPr>
        <w:t>human research</w:t>
      </w:r>
      <w:r w:rsidRPr="00CE4D57">
        <w:rPr>
          <w:rFonts w:cs="Arial"/>
          <w:sz w:val="22"/>
          <w:szCs w:val="22"/>
        </w:rPr>
        <w:t xml:space="preserve"> means any research or clinical investigation that involves human subjects as defined in </w:t>
      </w:r>
      <w:r w:rsidRPr="00CE4D57">
        <w:rPr>
          <w:rFonts w:cs="Arial"/>
          <w:i/>
          <w:iCs/>
          <w:sz w:val="22"/>
          <w:szCs w:val="22"/>
        </w:rPr>
        <w:t>HRP-001 - SOP - Definitions</w:t>
      </w:r>
      <w:r w:rsidRPr="00CE4D57">
        <w:rPr>
          <w:rFonts w:cs="Arial"/>
          <w:sz w:val="22"/>
          <w:szCs w:val="22"/>
        </w:rPr>
        <w:t>.</w:t>
      </w:r>
    </w:p>
    <w:p w14:paraId="638FEC70" w14:textId="6E12D081" w:rsidR="008920EA" w:rsidRDefault="00CE4D57">
      <w:pPr>
        <w:pStyle w:val="SOPLevel2"/>
        <w:spacing w:line="276" w:lineRule="auto"/>
        <w:rPr>
          <w:rFonts w:cs="Arial"/>
          <w:sz w:val="22"/>
          <w:szCs w:val="22"/>
        </w:rPr>
      </w:pPr>
      <w:r w:rsidRPr="00CE4D57">
        <w:rPr>
          <w:rFonts w:cs="Arial"/>
          <w:sz w:val="22"/>
          <w:szCs w:val="22"/>
        </w:rPr>
        <w:t xml:space="preserve">When there is any question about whether or not an activity is Human </w:t>
      </w:r>
      <w:r>
        <w:rPr>
          <w:rFonts w:cs="Arial"/>
          <w:sz w:val="22"/>
          <w:szCs w:val="22"/>
        </w:rPr>
        <w:t xml:space="preserve">Subjects </w:t>
      </w:r>
      <w:r w:rsidRPr="00CE4D57">
        <w:rPr>
          <w:rFonts w:cs="Arial"/>
          <w:sz w:val="22"/>
          <w:szCs w:val="22"/>
        </w:rPr>
        <w:t xml:space="preserve">Research the investigator will send a request for a </w:t>
      </w:r>
      <w:r w:rsidRPr="00CE4D57">
        <w:rPr>
          <w:rFonts w:cs="Arial"/>
          <w:sz w:val="22"/>
          <w:szCs w:val="22"/>
          <w:u w:val="double"/>
        </w:rPr>
        <w:t>Human Subjects</w:t>
      </w:r>
      <w:r w:rsidR="005D01FE">
        <w:rPr>
          <w:rFonts w:cs="Arial"/>
          <w:sz w:val="22"/>
          <w:szCs w:val="22"/>
          <w:u w:val="double"/>
        </w:rPr>
        <w:t>’</w:t>
      </w:r>
      <w:r w:rsidRPr="00CE4D57">
        <w:rPr>
          <w:rFonts w:cs="Arial"/>
          <w:sz w:val="22"/>
          <w:szCs w:val="22"/>
        </w:rPr>
        <w:t xml:space="preserve"> </w:t>
      </w:r>
      <w:r>
        <w:rPr>
          <w:rFonts w:cs="Arial"/>
          <w:sz w:val="22"/>
          <w:szCs w:val="22"/>
        </w:rPr>
        <w:t xml:space="preserve">Research </w:t>
      </w:r>
      <w:r w:rsidRPr="002B378E">
        <w:rPr>
          <w:rFonts w:cs="Arial"/>
          <w:sz w:val="22"/>
          <w:szCs w:val="22"/>
        </w:rPr>
        <w:t>Determination (HRP</w:t>
      </w:r>
      <w:r w:rsidR="002B378E" w:rsidRPr="002B378E">
        <w:rPr>
          <w:rFonts w:cs="Arial"/>
          <w:sz w:val="22"/>
          <w:szCs w:val="22"/>
        </w:rPr>
        <w:t xml:space="preserve"> 503c</w:t>
      </w:r>
      <w:r w:rsidRPr="002B378E">
        <w:rPr>
          <w:rFonts w:cs="Arial"/>
          <w:sz w:val="22"/>
          <w:szCs w:val="22"/>
        </w:rPr>
        <w:t>).</w:t>
      </w:r>
      <w:r w:rsidRPr="00CE4D57">
        <w:rPr>
          <w:rFonts w:cs="Arial"/>
          <w:sz w:val="22"/>
          <w:szCs w:val="22"/>
        </w:rPr>
        <w:t xml:space="preserve"> The request must be submitted through </w:t>
      </w:r>
      <w:r>
        <w:rPr>
          <w:rFonts w:cs="Arial"/>
          <w:sz w:val="22"/>
          <w:szCs w:val="22"/>
        </w:rPr>
        <w:t>Endeavor</w:t>
      </w:r>
      <w:r w:rsidRPr="00CE4D57">
        <w:rPr>
          <w:rFonts w:cs="Arial"/>
          <w:sz w:val="22"/>
          <w:szCs w:val="22"/>
        </w:rPr>
        <w:t>. Requests sent through other mechanisms (email, phone, fax) will not be processed.</w:t>
      </w:r>
    </w:p>
    <w:p w14:paraId="236E6220" w14:textId="77777777" w:rsidR="008920EA" w:rsidRDefault="00FC14F5">
      <w:pPr>
        <w:pStyle w:val="SOPLevel1"/>
        <w:spacing w:line="276" w:lineRule="auto"/>
        <w:rPr>
          <w:rFonts w:cs="Arial"/>
          <w:sz w:val="22"/>
          <w:szCs w:val="22"/>
        </w:rPr>
      </w:pPr>
      <w:r>
        <w:rPr>
          <w:rFonts w:cs="Arial"/>
          <w:sz w:val="22"/>
          <w:szCs w:val="22"/>
        </w:rPr>
        <w:t>RESPONSIBILITIES</w:t>
      </w:r>
    </w:p>
    <w:p w14:paraId="5CB72C81" w14:textId="063D03ED" w:rsidR="008920EA" w:rsidRDefault="00CE4D57">
      <w:pPr>
        <w:pStyle w:val="SOPLevel2"/>
        <w:spacing w:line="276" w:lineRule="auto"/>
        <w:rPr>
          <w:rFonts w:cs="Arial"/>
          <w:sz w:val="22"/>
          <w:szCs w:val="22"/>
        </w:rPr>
      </w:pPr>
      <w:r w:rsidRPr="00CE4D57">
        <w:rPr>
          <w:rFonts w:cs="Arial"/>
          <w:sz w:val="22"/>
          <w:szCs w:val="22"/>
          <w:u w:val="double"/>
        </w:rPr>
        <w:t>Investigators</w:t>
      </w:r>
      <w:r w:rsidRPr="00CE4D57">
        <w:rPr>
          <w:rFonts w:cs="Arial"/>
          <w:sz w:val="22"/>
          <w:szCs w:val="22"/>
        </w:rPr>
        <w:t xml:space="preserve"> perform these procedures.</w:t>
      </w:r>
    </w:p>
    <w:p w14:paraId="7A334A9E" w14:textId="77777777" w:rsidR="008920EA" w:rsidRDefault="00FC14F5">
      <w:pPr>
        <w:pStyle w:val="SOPLevel1"/>
        <w:spacing w:line="276" w:lineRule="auto"/>
        <w:rPr>
          <w:rFonts w:cs="Arial"/>
          <w:sz w:val="22"/>
          <w:szCs w:val="22"/>
        </w:rPr>
      </w:pPr>
      <w:r>
        <w:rPr>
          <w:rFonts w:cs="Arial"/>
          <w:sz w:val="22"/>
          <w:szCs w:val="22"/>
        </w:rPr>
        <w:t>PROCEDURE</w:t>
      </w:r>
    </w:p>
    <w:p w14:paraId="4E0A06B2" w14:textId="4D75DF8A" w:rsidR="00CE4D57" w:rsidRDefault="00CE4D57">
      <w:pPr>
        <w:pStyle w:val="SOPLevel2"/>
        <w:spacing w:line="276" w:lineRule="auto"/>
        <w:rPr>
          <w:rFonts w:cs="Arial"/>
          <w:sz w:val="22"/>
          <w:szCs w:val="22"/>
        </w:rPr>
      </w:pPr>
      <w:r w:rsidRPr="00CE4D57">
        <w:rPr>
          <w:rFonts w:cs="Arial"/>
          <w:sz w:val="22"/>
          <w:szCs w:val="22"/>
          <w:u w:val="double"/>
        </w:rPr>
        <w:t>Investigators</w:t>
      </w:r>
      <w:r w:rsidRPr="00CE4D57">
        <w:rPr>
          <w:rFonts w:cs="Arial"/>
          <w:sz w:val="22"/>
          <w:szCs w:val="22"/>
        </w:rPr>
        <w:t xml:space="preserve"> should review guidance on whether an activity is </w:t>
      </w:r>
      <w:r w:rsidRPr="00CE4D57">
        <w:rPr>
          <w:rFonts w:cs="Arial"/>
          <w:sz w:val="22"/>
          <w:szCs w:val="22"/>
          <w:u w:val="double"/>
        </w:rPr>
        <w:t>human subjects research</w:t>
      </w:r>
      <w:r w:rsidRPr="00CE4D57">
        <w:rPr>
          <w:rFonts w:cs="Arial"/>
          <w:sz w:val="22"/>
          <w:szCs w:val="22"/>
        </w:rPr>
        <w:t xml:space="preserve">. See </w:t>
      </w:r>
      <w:r w:rsidRPr="00CE4D57">
        <w:rPr>
          <w:rFonts w:cs="Arial"/>
          <w:i/>
          <w:iCs/>
          <w:sz w:val="22"/>
          <w:szCs w:val="22"/>
        </w:rPr>
        <w:t>HRP-001 - SOP - Definitions</w:t>
      </w:r>
      <w:r w:rsidRPr="00CE4D57">
        <w:rPr>
          <w:rFonts w:cs="Arial"/>
          <w:sz w:val="22"/>
          <w:szCs w:val="22"/>
        </w:rPr>
        <w:t xml:space="preserve"> and </w:t>
      </w:r>
      <w:r w:rsidRPr="00CE4D57">
        <w:rPr>
          <w:rFonts w:cs="Arial"/>
          <w:i/>
          <w:iCs/>
          <w:sz w:val="22"/>
          <w:szCs w:val="22"/>
        </w:rPr>
        <w:t>HRP-310- WORKSHEET - Human Research Determination</w:t>
      </w:r>
      <w:r w:rsidRPr="00CE4D57">
        <w:rPr>
          <w:rFonts w:cs="Arial"/>
          <w:sz w:val="22"/>
          <w:szCs w:val="22"/>
        </w:rPr>
        <w:t xml:space="preserve">. </w:t>
      </w:r>
    </w:p>
    <w:p w14:paraId="6F4A38FF" w14:textId="77777777" w:rsidR="00CE4D57" w:rsidRDefault="00CE4D57">
      <w:pPr>
        <w:pStyle w:val="SOPLevel2"/>
        <w:spacing w:line="276" w:lineRule="auto"/>
        <w:rPr>
          <w:rFonts w:cs="Arial"/>
          <w:sz w:val="22"/>
          <w:szCs w:val="22"/>
        </w:rPr>
      </w:pPr>
      <w:r w:rsidRPr="00CE4D57">
        <w:rPr>
          <w:rFonts w:cs="Arial"/>
          <w:sz w:val="22"/>
          <w:szCs w:val="22"/>
          <w:u w:val="double"/>
        </w:rPr>
        <w:t>Investigators</w:t>
      </w:r>
      <w:r w:rsidRPr="00CE4D57">
        <w:rPr>
          <w:rFonts w:cs="Arial"/>
          <w:sz w:val="22"/>
          <w:szCs w:val="22"/>
        </w:rPr>
        <w:t xml:space="preserve"> should submit their activities to the IRB for a determination whenever the activity involves </w:t>
      </w:r>
      <w:r w:rsidRPr="00CE4D57">
        <w:rPr>
          <w:rFonts w:cs="Arial"/>
          <w:sz w:val="22"/>
          <w:szCs w:val="22"/>
          <w:u w:val="double"/>
        </w:rPr>
        <w:t>human subjects</w:t>
      </w:r>
      <w:r w:rsidRPr="00CE4D57">
        <w:rPr>
          <w:rFonts w:cs="Arial"/>
          <w:sz w:val="22"/>
          <w:szCs w:val="22"/>
        </w:rPr>
        <w:t xml:space="preserve"> or their </w:t>
      </w:r>
      <w:r w:rsidRPr="00CE4D57">
        <w:rPr>
          <w:rFonts w:cs="Arial"/>
          <w:sz w:val="22"/>
          <w:szCs w:val="22"/>
          <w:u w:val="double"/>
        </w:rPr>
        <w:t>identifiable private information or biospecimens</w:t>
      </w:r>
      <w:r w:rsidRPr="00CE4D57">
        <w:rPr>
          <w:rFonts w:cs="Arial"/>
          <w:sz w:val="22"/>
          <w:szCs w:val="22"/>
        </w:rPr>
        <w:t xml:space="preserve">.  </w:t>
      </w:r>
    </w:p>
    <w:p w14:paraId="51321087" w14:textId="77777777" w:rsidR="00CE4D57" w:rsidRDefault="00CE4D57">
      <w:pPr>
        <w:pStyle w:val="SOPLevel2"/>
        <w:spacing w:line="276" w:lineRule="auto"/>
        <w:rPr>
          <w:rFonts w:cs="Arial"/>
          <w:sz w:val="22"/>
          <w:szCs w:val="22"/>
        </w:rPr>
      </w:pPr>
      <w:r w:rsidRPr="00CE4D57">
        <w:rPr>
          <w:rFonts w:cs="Arial"/>
          <w:sz w:val="22"/>
          <w:szCs w:val="22"/>
        </w:rPr>
        <w:t xml:space="preserve">Investigators should submit their activities to the IRB for a determination when they anticipate that correspondence from the IRB will be required to satisfy funding agency requirements or for presentation and publication purposes. </w:t>
      </w:r>
    </w:p>
    <w:p w14:paraId="761CD930" w14:textId="77777777" w:rsidR="005D01FE" w:rsidRDefault="00CE4D57" w:rsidP="005D01FE">
      <w:pPr>
        <w:pStyle w:val="SOPLevel2"/>
        <w:spacing w:line="276" w:lineRule="auto"/>
        <w:rPr>
          <w:rFonts w:cs="Arial"/>
          <w:sz w:val="22"/>
          <w:szCs w:val="22"/>
        </w:rPr>
        <w:sectPr w:rsidR="005D01FE">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pPr>
      <w:r w:rsidRPr="00CE4D57">
        <w:rPr>
          <w:rFonts w:cs="Arial"/>
          <w:sz w:val="22"/>
          <w:szCs w:val="22"/>
        </w:rPr>
        <w:t xml:space="preserve">The following table is a general guide that provides a list of activities that may or may not require IRB review. Other activities not on the list may also represent </w:t>
      </w:r>
      <w:r w:rsidRPr="00CE4D57">
        <w:rPr>
          <w:rFonts w:cs="Arial"/>
          <w:sz w:val="22"/>
          <w:szCs w:val="22"/>
          <w:u w:val="double"/>
        </w:rPr>
        <w:t>human subjects research</w:t>
      </w:r>
      <w:r w:rsidRPr="00CE4D57">
        <w:rPr>
          <w:rFonts w:cs="Arial"/>
          <w:sz w:val="22"/>
          <w:szCs w:val="22"/>
        </w:rPr>
        <w:t xml:space="preserve">. </w:t>
      </w:r>
      <w:r w:rsidRPr="005D01FE">
        <w:rPr>
          <w:rFonts w:cs="Arial"/>
          <w:sz w:val="22"/>
          <w:szCs w:val="22"/>
        </w:rPr>
        <w:t>When unsure if the activity is or is not human subjects research, contact the IRB office.</w:t>
      </w:r>
    </w:p>
    <w:tbl>
      <w:tblPr>
        <w:tblW w:w="14438" w:type="dxa"/>
        <w:tblLook w:val="04A0" w:firstRow="1" w:lastRow="0" w:firstColumn="1" w:lastColumn="0" w:noHBand="0" w:noVBand="1"/>
      </w:tblPr>
      <w:tblGrid>
        <w:gridCol w:w="3624"/>
        <w:gridCol w:w="8216"/>
        <w:gridCol w:w="2598"/>
      </w:tblGrid>
      <w:tr w:rsidR="005D01FE" w:rsidRPr="005D01FE" w14:paraId="066EF881" w14:textId="77777777" w:rsidTr="005D01FE">
        <w:trPr>
          <w:trHeight w:val="840"/>
        </w:trPr>
        <w:tc>
          <w:tcPr>
            <w:tcW w:w="3624" w:type="dxa"/>
            <w:vMerge w:val="restart"/>
            <w:tcBorders>
              <w:top w:val="single" w:sz="8" w:space="0" w:color="auto"/>
              <w:left w:val="single" w:sz="8" w:space="0" w:color="auto"/>
              <w:bottom w:val="single" w:sz="8" w:space="0" w:color="000000"/>
              <w:right w:val="single" w:sz="8" w:space="0" w:color="000000"/>
            </w:tcBorders>
            <w:shd w:val="clear" w:color="000000" w:fill="153D64"/>
            <w:hideMark/>
          </w:tcPr>
          <w:p w14:paraId="1DDFF987" w14:textId="77777777" w:rsidR="005D01FE" w:rsidRPr="005D01FE" w:rsidRDefault="005D01FE" w:rsidP="005D01FE">
            <w:pPr>
              <w:spacing w:after="0" w:line="240" w:lineRule="auto"/>
              <w:jc w:val="center"/>
              <w:rPr>
                <w:rFonts w:ascii="Arial" w:eastAsia="Times New Roman" w:hAnsi="Arial" w:cs="Arial"/>
                <w:b/>
                <w:bCs/>
                <w:color w:val="FFFFFF"/>
                <w:sz w:val="28"/>
                <w:szCs w:val="28"/>
              </w:rPr>
            </w:pPr>
            <w:r w:rsidRPr="005D01FE">
              <w:rPr>
                <w:rFonts w:ascii="Arial" w:eastAsia="Times New Roman" w:hAnsi="Arial" w:cs="Arial"/>
                <w:b/>
                <w:bCs/>
                <w:color w:val="FFFFFF"/>
                <w:spacing w:val="-2"/>
                <w:sz w:val="28"/>
              </w:rPr>
              <w:lastRenderedPageBreak/>
              <w:t>ACTIVITY</w:t>
            </w:r>
          </w:p>
        </w:tc>
        <w:tc>
          <w:tcPr>
            <w:tcW w:w="8216" w:type="dxa"/>
            <w:vMerge w:val="restart"/>
            <w:tcBorders>
              <w:top w:val="single" w:sz="8" w:space="0" w:color="auto"/>
              <w:left w:val="single" w:sz="8" w:space="0" w:color="000000"/>
              <w:bottom w:val="single" w:sz="8" w:space="0" w:color="000000"/>
              <w:right w:val="single" w:sz="8" w:space="0" w:color="000000"/>
            </w:tcBorders>
            <w:shd w:val="clear" w:color="000000" w:fill="153D64"/>
            <w:hideMark/>
          </w:tcPr>
          <w:p w14:paraId="34747A00" w14:textId="77777777" w:rsidR="005D01FE" w:rsidRPr="005D01FE" w:rsidRDefault="005D01FE" w:rsidP="005D01FE">
            <w:pPr>
              <w:spacing w:after="0" w:line="240" w:lineRule="auto"/>
              <w:jc w:val="center"/>
              <w:rPr>
                <w:rFonts w:ascii="Arial" w:eastAsia="Times New Roman" w:hAnsi="Arial" w:cs="Arial"/>
                <w:b/>
                <w:bCs/>
                <w:color w:val="FFFFFF"/>
                <w:sz w:val="28"/>
                <w:szCs w:val="28"/>
              </w:rPr>
            </w:pPr>
            <w:r w:rsidRPr="005D01FE">
              <w:rPr>
                <w:rFonts w:ascii="Arial" w:eastAsia="Times New Roman" w:hAnsi="Arial" w:cs="Arial"/>
                <w:b/>
                <w:bCs/>
                <w:color w:val="FFFFFF"/>
                <w:spacing w:val="-2"/>
                <w:sz w:val="28"/>
              </w:rPr>
              <w:t>DESCRIPTION</w:t>
            </w:r>
          </w:p>
        </w:tc>
        <w:tc>
          <w:tcPr>
            <w:tcW w:w="2598" w:type="dxa"/>
            <w:vMerge w:val="restart"/>
            <w:tcBorders>
              <w:top w:val="single" w:sz="8" w:space="0" w:color="auto"/>
              <w:left w:val="single" w:sz="8" w:space="0" w:color="000000"/>
              <w:bottom w:val="single" w:sz="8" w:space="0" w:color="000000"/>
              <w:right w:val="single" w:sz="8" w:space="0" w:color="auto"/>
            </w:tcBorders>
            <w:shd w:val="clear" w:color="000000" w:fill="153D64"/>
            <w:hideMark/>
          </w:tcPr>
          <w:p w14:paraId="73791030" w14:textId="77777777" w:rsidR="005D01FE" w:rsidRPr="005D01FE" w:rsidRDefault="005D01FE" w:rsidP="005D01FE">
            <w:pPr>
              <w:spacing w:after="0" w:line="240" w:lineRule="auto"/>
              <w:jc w:val="center"/>
              <w:rPr>
                <w:rFonts w:ascii="Arial" w:eastAsia="Times New Roman" w:hAnsi="Arial" w:cs="Arial"/>
                <w:b/>
                <w:bCs/>
                <w:color w:val="FFFFFF"/>
                <w:sz w:val="28"/>
                <w:szCs w:val="28"/>
              </w:rPr>
            </w:pPr>
            <w:r w:rsidRPr="005D01FE">
              <w:rPr>
                <w:rFonts w:ascii="Arial" w:eastAsia="Times New Roman" w:hAnsi="Arial" w:cs="Arial"/>
                <w:b/>
                <w:bCs/>
                <w:color w:val="FFFFFF"/>
                <w:sz w:val="28"/>
                <w:szCs w:val="28"/>
              </w:rPr>
              <w:t>IRB DETERMINATION REQUIRED</w:t>
            </w:r>
          </w:p>
        </w:tc>
      </w:tr>
      <w:tr w:rsidR="005D01FE" w:rsidRPr="005D01FE" w14:paraId="1EB1DE9E" w14:textId="77777777" w:rsidTr="005D01FE">
        <w:trPr>
          <w:trHeight w:val="450"/>
        </w:trPr>
        <w:tc>
          <w:tcPr>
            <w:tcW w:w="3624" w:type="dxa"/>
            <w:vMerge/>
            <w:tcBorders>
              <w:top w:val="single" w:sz="8" w:space="0" w:color="auto"/>
              <w:left w:val="single" w:sz="8" w:space="0" w:color="auto"/>
              <w:bottom w:val="single" w:sz="8" w:space="0" w:color="000000"/>
              <w:right w:val="single" w:sz="8" w:space="0" w:color="000000"/>
            </w:tcBorders>
            <w:hideMark/>
          </w:tcPr>
          <w:p w14:paraId="6A40121A" w14:textId="77777777" w:rsidR="005D01FE" w:rsidRPr="005D01FE" w:rsidRDefault="005D01FE" w:rsidP="005D01FE">
            <w:pPr>
              <w:spacing w:after="0" w:line="240" w:lineRule="auto"/>
              <w:rPr>
                <w:rFonts w:ascii="Arial" w:eastAsia="Times New Roman" w:hAnsi="Arial" w:cs="Arial"/>
                <w:b/>
                <w:bCs/>
                <w:color w:val="FFFFFF"/>
                <w:sz w:val="28"/>
                <w:szCs w:val="28"/>
              </w:rPr>
            </w:pPr>
          </w:p>
        </w:tc>
        <w:tc>
          <w:tcPr>
            <w:tcW w:w="8216" w:type="dxa"/>
            <w:vMerge/>
            <w:tcBorders>
              <w:top w:val="single" w:sz="8" w:space="0" w:color="auto"/>
              <w:left w:val="single" w:sz="8" w:space="0" w:color="000000"/>
              <w:bottom w:val="single" w:sz="8" w:space="0" w:color="000000"/>
              <w:right w:val="single" w:sz="8" w:space="0" w:color="000000"/>
            </w:tcBorders>
            <w:hideMark/>
          </w:tcPr>
          <w:p w14:paraId="370353DA" w14:textId="77777777" w:rsidR="005D01FE" w:rsidRPr="005D01FE" w:rsidRDefault="005D01FE" w:rsidP="005D01FE">
            <w:pPr>
              <w:spacing w:after="0" w:line="240" w:lineRule="auto"/>
              <w:rPr>
                <w:rFonts w:ascii="Arial" w:eastAsia="Times New Roman" w:hAnsi="Arial" w:cs="Arial"/>
                <w:b/>
                <w:bCs/>
                <w:color w:val="FFFFFF"/>
                <w:sz w:val="28"/>
                <w:szCs w:val="28"/>
              </w:rPr>
            </w:pPr>
          </w:p>
        </w:tc>
        <w:tc>
          <w:tcPr>
            <w:tcW w:w="2598" w:type="dxa"/>
            <w:vMerge/>
            <w:tcBorders>
              <w:top w:val="single" w:sz="8" w:space="0" w:color="auto"/>
              <w:left w:val="single" w:sz="8" w:space="0" w:color="000000"/>
              <w:bottom w:val="single" w:sz="8" w:space="0" w:color="000000"/>
              <w:right w:val="single" w:sz="8" w:space="0" w:color="auto"/>
            </w:tcBorders>
            <w:hideMark/>
          </w:tcPr>
          <w:p w14:paraId="15B494F6" w14:textId="77777777" w:rsidR="005D01FE" w:rsidRPr="005D01FE" w:rsidRDefault="005D01FE" w:rsidP="005D01FE">
            <w:pPr>
              <w:spacing w:after="0" w:line="240" w:lineRule="auto"/>
              <w:rPr>
                <w:rFonts w:ascii="Arial" w:eastAsia="Times New Roman" w:hAnsi="Arial" w:cs="Arial"/>
                <w:b/>
                <w:bCs/>
                <w:color w:val="FFFFFF"/>
                <w:sz w:val="28"/>
                <w:szCs w:val="28"/>
              </w:rPr>
            </w:pPr>
          </w:p>
        </w:tc>
      </w:tr>
      <w:tr w:rsidR="005D01FE" w:rsidRPr="005D01FE" w14:paraId="0982C493" w14:textId="77777777" w:rsidTr="005D01FE">
        <w:trPr>
          <w:trHeight w:val="700"/>
        </w:trPr>
        <w:tc>
          <w:tcPr>
            <w:tcW w:w="3624" w:type="dxa"/>
            <w:tcBorders>
              <w:top w:val="nil"/>
              <w:left w:val="single" w:sz="8" w:space="0" w:color="auto"/>
              <w:bottom w:val="single" w:sz="8" w:space="0" w:color="000000"/>
              <w:right w:val="single" w:sz="8" w:space="0" w:color="000000"/>
            </w:tcBorders>
            <w:shd w:val="clear" w:color="auto" w:fill="auto"/>
            <w:hideMark/>
          </w:tcPr>
          <w:p w14:paraId="28B62153"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Cadaver or autopsy specimens/materials</w:t>
            </w:r>
          </w:p>
        </w:tc>
        <w:tc>
          <w:tcPr>
            <w:tcW w:w="8216" w:type="dxa"/>
            <w:tcBorders>
              <w:top w:val="nil"/>
              <w:left w:val="nil"/>
              <w:bottom w:val="single" w:sz="8" w:space="0" w:color="000000"/>
              <w:right w:val="single" w:sz="8" w:space="0" w:color="000000"/>
            </w:tcBorders>
            <w:shd w:val="clear" w:color="auto" w:fill="auto"/>
            <w:hideMark/>
          </w:tcPr>
          <w:p w14:paraId="6E294364"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Research involving deceased individuals does not require IRB oversight.</w:t>
            </w:r>
          </w:p>
        </w:tc>
        <w:tc>
          <w:tcPr>
            <w:tcW w:w="2598" w:type="dxa"/>
            <w:tcBorders>
              <w:top w:val="nil"/>
              <w:left w:val="nil"/>
              <w:bottom w:val="single" w:sz="8" w:space="0" w:color="000000"/>
              <w:right w:val="single" w:sz="8" w:space="0" w:color="auto"/>
            </w:tcBorders>
            <w:shd w:val="clear" w:color="auto" w:fill="auto"/>
            <w:hideMark/>
          </w:tcPr>
          <w:p w14:paraId="400B5627"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NO</w:t>
            </w:r>
          </w:p>
        </w:tc>
      </w:tr>
      <w:tr w:rsidR="005D01FE" w:rsidRPr="005D01FE" w14:paraId="5EF3242E" w14:textId="77777777" w:rsidTr="005D01FE">
        <w:trPr>
          <w:trHeight w:val="680"/>
        </w:trPr>
        <w:tc>
          <w:tcPr>
            <w:tcW w:w="3624" w:type="dxa"/>
            <w:vMerge w:val="restart"/>
            <w:tcBorders>
              <w:top w:val="nil"/>
              <w:left w:val="single" w:sz="8" w:space="0" w:color="auto"/>
              <w:bottom w:val="single" w:sz="8" w:space="0" w:color="000000"/>
              <w:right w:val="single" w:sz="8" w:space="0" w:color="000000"/>
            </w:tcBorders>
            <w:shd w:val="clear" w:color="auto" w:fill="auto"/>
            <w:hideMark/>
          </w:tcPr>
          <w:p w14:paraId="78BBE822"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Case Report Studies</w:t>
            </w:r>
          </w:p>
        </w:tc>
        <w:tc>
          <w:tcPr>
            <w:tcW w:w="8216" w:type="dxa"/>
            <w:vMerge w:val="restart"/>
            <w:tcBorders>
              <w:top w:val="nil"/>
              <w:left w:val="single" w:sz="8" w:space="0" w:color="000000"/>
              <w:bottom w:val="single" w:sz="8" w:space="0" w:color="000000"/>
              <w:right w:val="single" w:sz="8" w:space="0" w:color="000000"/>
            </w:tcBorders>
            <w:shd w:val="clear" w:color="auto" w:fill="auto"/>
            <w:hideMark/>
          </w:tcPr>
          <w:p w14:paraId="5BC54B0C" w14:textId="77777777" w:rsidR="005D01FE" w:rsidRPr="005D01FE" w:rsidRDefault="005D01FE" w:rsidP="005D01FE">
            <w:pPr>
              <w:spacing w:after="0" w:line="240" w:lineRule="auto"/>
              <w:rPr>
                <w:rFonts w:ascii="Arial" w:eastAsia="Times New Roman" w:hAnsi="Arial" w:cs="Arial"/>
                <w:b/>
                <w:bCs/>
                <w:color w:val="000000"/>
                <w:sz w:val="24"/>
                <w:szCs w:val="24"/>
              </w:rPr>
            </w:pPr>
            <w:r w:rsidRPr="005D01FE">
              <w:rPr>
                <w:rFonts w:ascii="Arial" w:eastAsia="Times New Roman" w:hAnsi="Arial" w:cs="Arial"/>
                <w:b/>
                <w:bCs/>
                <w:color w:val="000000"/>
                <w:sz w:val="24"/>
              </w:rPr>
              <w:t xml:space="preserve">Retrospective </w:t>
            </w:r>
            <w:r w:rsidRPr="005D01FE">
              <w:rPr>
                <w:rFonts w:ascii="Arial" w:eastAsia="Times New Roman" w:hAnsi="Arial" w:cs="Arial"/>
                <w:color w:val="000000"/>
                <w:sz w:val="24"/>
                <w:szCs w:val="24"/>
              </w:rPr>
              <w:t>review of a medical or other records with intent to document a specific situation or the experience of an individual without intent to form a research hypothesis, draw conclusions or generalize findings. Data is de-identified.</w:t>
            </w:r>
          </w:p>
        </w:tc>
        <w:tc>
          <w:tcPr>
            <w:tcW w:w="2598" w:type="dxa"/>
            <w:tcBorders>
              <w:top w:val="nil"/>
              <w:left w:val="nil"/>
              <w:bottom w:val="nil"/>
              <w:right w:val="single" w:sz="8" w:space="0" w:color="auto"/>
            </w:tcBorders>
            <w:shd w:val="clear" w:color="auto" w:fill="auto"/>
            <w:hideMark/>
          </w:tcPr>
          <w:p w14:paraId="3ADCFE60"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z w:val="24"/>
              </w:rPr>
              <w:t xml:space="preserve">NO </w:t>
            </w:r>
            <w:r w:rsidRPr="005D01FE">
              <w:rPr>
                <w:rFonts w:ascii="Arial" w:eastAsia="Times New Roman" w:hAnsi="Arial" w:cs="Arial"/>
                <w:color w:val="000000"/>
                <w:sz w:val="24"/>
                <w:szCs w:val="24"/>
              </w:rPr>
              <w:t>if using only 1-2 records.</w:t>
            </w:r>
          </w:p>
        </w:tc>
      </w:tr>
      <w:tr w:rsidR="005D01FE" w:rsidRPr="005D01FE" w14:paraId="21DCADC1" w14:textId="77777777" w:rsidTr="005D01FE">
        <w:trPr>
          <w:trHeight w:val="320"/>
        </w:trPr>
        <w:tc>
          <w:tcPr>
            <w:tcW w:w="3624" w:type="dxa"/>
            <w:vMerge/>
            <w:tcBorders>
              <w:top w:val="nil"/>
              <w:left w:val="single" w:sz="8" w:space="0" w:color="auto"/>
              <w:bottom w:val="single" w:sz="8" w:space="0" w:color="000000"/>
              <w:right w:val="single" w:sz="8" w:space="0" w:color="000000"/>
            </w:tcBorders>
            <w:hideMark/>
          </w:tcPr>
          <w:p w14:paraId="30BFD1BA" w14:textId="77777777" w:rsidR="005D01FE" w:rsidRPr="005D01FE" w:rsidRDefault="005D01FE" w:rsidP="005D01FE">
            <w:pPr>
              <w:spacing w:after="0" w:line="240" w:lineRule="auto"/>
              <w:rPr>
                <w:rFonts w:ascii="Arial" w:eastAsia="Times New Roman" w:hAnsi="Arial" w:cs="Arial"/>
                <w:color w:val="000000"/>
                <w:sz w:val="24"/>
                <w:szCs w:val="24"/>
              </w:rPr>
            </w:pPr>
          </w:p>
        </w:tc>
        <w:tc>
          <w:tcPr>
            <w:tcW w:w="8216" w:type="dxa"/>
            <w:vMerge/>
            <w:tcBorders>
              <w:top w:val="nil"/>
              <w:left w:val="single" w:sz="8" w:space="0" w:color="000000"/>
              <w:bottom w:val="single" w:sz="8" w:space="0" w:color="000000"/>
              <w:right w:val="single" w:sz="8" w:space="0" w:color="000000"/>
            </w:tcBorders>
            <w:hideMark/>
          </w:tcPr>
          <w:p w14:paraId="49DD9E51" w14:textId="77777777" w:rsidR="005D01FE" w:rsidRPr="005D01FE" w:rsidRDefault="005D01FE" w:rsidP="005D01FE">
            <w:pPr>
              <w:spacing w:after="0" w:line="240" w:lineRule="auto"/>
              <w:rPr>
                <w:rFonts w:ascii="Arial" w:eastAsia="Times New Roman" w:hAnsi="Arial" w:cs="Arial"/>
                <w:b/>
                <w:bCs/>
                <w:color w:val="000000"/>
                <w:sz w:val="24"/>
                <w:szCs w:val="24"/>
              </w:rPr>
            </w:pPr>
          </w:p>
        </w:tc>
        <w:tc>
          <w:tcPr>
            <w:tcW w:w="2598" w:type="dxa"/>
            <w:tcBorders>
              <w:top w:val="nil"/>
              <w:left w:val="nil"/>
              <w:bottom w:val="nil"/>
              <w:right w:val="single" w:sz="8" w:space="0" w:color="auto"/>
            </w:tcBorders>
            <w:shd w:val="clear" w:color="auto" w:fill="auto"/>
            <w:hideMark/>
          </w:tcPr>
          <w:p w14:paraId="560F69C8" w14:textId="77777777" w:rsidR="005D01FE" w:rsidRPr="005D01FE" w:rsidRDefault="005D01FE" w:rsidP="005D01FE">
            <w:pPr>
              <w:spacing w:after="0" w:line="240" w:lineRule="auto"/>
              <w:jc w:val="center"/>
              <w:rPr>
                <w:rFonts w:ascii="Arial" w:eastAsia="Times New Roman" w:hAnsi="Arial" w:cs="Arial"/>
                <w:color w:val="000000"/>
                <w:sz w:val="24"/>
                <w:szCs w:val="24"/>
              </w:rPr>
            </w:pPr>
            <w:r w:rsidRPr="005D01FE">
              <w:rPr>
                <w:rFonts w:ascii="Arial" w:eastAsia="Times New Roman" w:hAnsi="Arial" w:cs="Arial"/>
                <w:color w:val="000000"/>
                <w:sz w:val="24"/>
              </w:rPr>
              <w:t> </w:t>
            </w:r>
          </w:p>
        </w:tc>
      </w:tr>
      <w:tr w:rsidR="005D01FE" w:rsidRPr="005D01FE" w14:paraId="3129124C" w14:textId="77777777" w:rsidTr="005D01FE">
        <w:trPr>
          <w:trHeight w:val="700"/>
        </w:trPr>
        <w:tc>
          <w:tcPr>
            <w:tcW w:w="3624" w:type="dxa"/>
            <w:vMerge/>
            <w:tcBorders>
              <w:top w:val="nil"/>
              <w:left w:val="single" w:sz="8" w:space="0" w:color="auto"/>
              <w:bottom w:val="single" w:sz="8" w:space="0" w:color="000000"/>
              <w:right w:val="single" w:sz="8" w:space="0" w:color="000000"/>
            </w:tcBorders>
            <w:hideMark/>
          </w:tcPr>
          <w:p w14:paraId="2A028D92" w14:textId="77777777" w:rsidR="005D01FE" w:rsidRPr="005D01FE" w:rsidRDefault="005D01FE" w:rsidP="005D01FE">
            <w:pPr>
              <w:spacing w:after="0" w:line="240" w:lineRule="auto"/>
              <w:rPr>
                <w:rFonts w:ascii="Arial" w:eastAsia="Times New Roman" w:hAnsi="Arial" w:cs="Arial"/>
                <w:color w:val="000000"/>
                <w:sz w:val="24"/>
                <w:szCs w:val="24"/>
              </w:rPr>
            </w:pPr>
          </w:p>
        </w:tc>
        <w:tc>
          <w:tcPr>
            <w:tcW w:w="8216" w:type="dxa"/>
            <w:vMerge/>
            <w:tcBorders>
              <w:top w:val="nil"/>
              <w:left w:val="single" w:sz="8" w:space="0" w:color="000000"/>
              <w:bottom w:val="single" w:sz="8" w:space="0" w:color="000000"/>
              <w:right w:val="single" w:sz="8" w:space="0" w:color="000000"/>
            </w:tcBorders>
            <w:hideMark/>
          </w:tcPr>
          <w:p w14:paraId="3EFDE651" w14:textId="77777777" w:rsidR="005D01FE" w:rsidRPr="005D01FE" w:rsidRDefault="005D01FE" w:rsidP="005D01FE">
            <w:pPr>
              <w:spacing w:after="0" w:line="240" w:lineRule="auto"/>
              <w:rPr>
                <w:rFonts w:ascii="Arial" w:eastAsia="Times New Roman" w:hAnsi="Arial" w:cs="Arial"/>
                <w:b/>
                <w:bCs/>
                <w:color w:val="000000"/>
                <w:sz w:val="24"/>
                <w:szCs w:val="24"/>
              </w:rPr>
            </w:pPr>
          </w:p>
        </w:tc>
        <w:tc>
          <w:tcPr>
            <w:tcW w:w="2598" w:type="dxa"/>
            <w:tcBorders>
              <w:top w:val="nil"/>
              <w:left w:val="nil"/>
              <w:bottom w:val="single" w:sz="8" w:space="0" w:color="000000"/>
              <w:right w:val="single" w:sz="8" w:space="0" w:color="auto"/>
            </w:tcBorders>
            <w:shd w:val="clear" w:color="auto" w:fill="auto"/>
            <w:hideMark/>
          </w:tcPr>
          <w:p w14:paraId="2D7987D2"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z w:val="24"/>
              </w:rPr>
              <w:t xml:space="preserve">YES </w:t>
            </w:r>
            <w:r w:rsidRPr="005D01FE">
              <w:rPr>
                <w:rFonts w:ascii="Arial" w:eastAsia="Times New Roman" w:hAnsi="Arial" w:cs="Arial"/>
                <w:color w:val="000000"/>
                <w:sz w:val="24"/>
                <w:szCs w:val="24"/>
              </w:rPr>
              <w:t>if using 3 or more records.</w:t>
            </w:r>
          </w:p>
        </w:tc>
      </w:tr>
      <w:tr w:rsidR="005D01FE" w:rsidRPr="005D01FE" w14:paraId="20118386" w14:textId="77777777" w:rsidTr="005D01FE">
        <w:trPr>
          <w:trHeight w:val="1040"/>
        </w:trPr>
        <w:tc>
          <w:tcPr>
            <w:tcW w:w="3624" w:type="dxa"/>
            <w:vMerge/>
            <w:tcBorders>
              <w:top w:val="nil"/>
              <w:left w:val="single" w:sz="8" w:space="0" w:color="auto"/>
              <w:bottom w:val="single" w:sz="8" w:space="0" w:color="000000"/>
              <w:right w:val="single" w:sz="8" w:space="0" w:color="000000"/>
            </w:tcBorders>
            <w:hideMark/>
          </w:tcPr>
          <w:p w14:paraId="0FAFAA9B" w14:textId="77777777" w:rsidR="005D01FE" w:rsidRPr="005D01FE" w:rsidRDefault="005D01FE" w:rsidP="005D01FE">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6130AA3D" w14:textId="77777777" w:rsidR="005D01FE" w:rsidRPr="005D01FE" w:rsidRDefault="005D01FE" w:rsidP="005D01FE">
            <w:pPr>
              <w:spacing w:after="0" w:line="240" w:lineRule="auto"/>
              <w:rPr>
                <w:rFonts w:ascii="Arial" w:eastAsia="Times New Roman" w:hAnsi="Arial" w:cs="Arial"/>
                <w:b/>
                <w:bCs/>
                <w:color w:val="000000"/>
                <w:sz w:val="24"/>
                <w:szCs w:val="24"/>
              </w:rPr>
            </w:pPr>
            <w:r w:rsidRPr="005D01FE">
              <w:rPr>
                <w:rFonts w:ascii="Arial" w:eastAsia="Times New Roman" w:hAnsi="Arial" w:cs="Arial"/>
                <w:b/>
                <w:bCs/>
                <w:color w:val="000000"/>
                <w:sz w:val="24"/>
              </w:rPr>
              <w:t xml:space="preserve">Prospective </w:t>
            </w:r>
            <w:r w:rsidRPr="005D01FE">
              <w:rPr>
                <w:rFonts w:ascii="Arial" w:eastAsia="Times New Roman" w:hAnsi="Arial" w:cs="Arial"/>
                <w:color w:val="000000"/>
                <w:sz w:val="24"/>
                <w:szCs w:val="24"/>
              </w:rPr>
              <w:t>case study with clear intent, before recruiting or interacting with the participant, to use that data to draw conclusions and will publish or present to external groups.</w:t>
            </w:r>
          </w:p>
        </w:tc>
        <w:tc>
          <w:tcPr>
            <w:tcW w:w="2598" w:type="dxa"/>
            <w:tcBorders>
              <w:top w:val="nil"/>
              <w:left w:val="nil"/>
              <w:bottom w:val="single" w:sz="8" w:space="0" w:color="000000"/>
              <w:right w:val="single" w:sz="8" w:space="0" w:color="auto"/>
            </w:tcBorders>
            <w:shd w:val="clear" w:color="auto" w:fill="auto"/>
            <w:hideMark/>
          </w:tcPr>
          <w:p w14:paraId="22FFCD43"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5D01FE" w:rsidRPr="005D01FE" w14:paraId="0B017CCC" w14:textId="77777777" w:rsidTr="005D01FE">
        <w:trPr>
          <w:trHeight w:val="1380"/>
        </w:trPr>
        <w:tc>
          <w:tcPr>
            <w:tcW w:w="3624" w:type="dxa"/>
            <w:tcBorders>
              <w:top w:val="nil"/>
              <w:left w:val="single" w:sz="8" w:space="0" w:color="auto"/>
              <w:bottom w:val="single" w:sz="8" w:space="0" w:color="000000"/>
              <w:right w:val="single" w:sz="8" w:space="0" w:color="000000"/>
            </w:tcBorders>
            <w:shd w:val="clear" w:color="auto" w:fill="auto"/>
            <w:hideMark/>
          </w:tcPr>
          <w:p w14:paraId="5AEF6F7D"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pacing w:val="-2"/>
                <w:sz w:val="24"/>
              </w:rPr>
              <w:t>Classroom Assignments/Activities</w:t>
            </w:r>
          </w:p>
        </w:tc>
        <w:tc>
          <w:tcPr>
            <w:tcW w:w="8216" w:type="dxa"/>
            <w:tcBorders>
              <w:top w:val="nil"/>
              <w:left w:val="nil"/>
              <w:bottom w:val="single" w:sz="8" w:space="0" w:color="000000"/>
              <w:right w:val="single" w:sz="8" w:space="0" w:color="000000"/>
            </w:tcBorders>
            <w:shd w:val="clear" w:color="auto" w:fill="auto"/>
            <w:hideMark/>
          </w:tcPr>
          <w:p w14:paraId="2E94F703"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 xml:space="preserve">Normal educational activities </w:t>
            </w:r>
            <w:r w:rsidRPr="005D01FE">
              <w:rPr>
                <w:rFonts w:ascii="Arial" w:eastAsia="Times New Roman" w:hAnsi="Arial" w:cs="Arial"/>
                <w:color w:val="000000"/>
                <w:sz w:val="24"/>
                <w:szCs w:val="24"/>
                <w:u w:val="single"/>
              </w:rPr>
              <w:t>conducted by the students</w:t>
            </w:r>
            <w:r w:rsidRPr="005D01FE">
              <w:rPr>
                <w:rFonts w:ascii="Arial" w:eastAsia="Times New Roman" w:hAnsi="Arial" w:cs="Arial"/>
                <w:color w:val="000000"/>
                <w:sz w:val="24"/>
                <w:szCs w:val="24"/>
              </w:rPr>
              <w:t xml:space="preserve"> designed to teach students methods or demonstrate course concepts </w:t>
            </w:r>
            <w:r w:rsidRPr="005D01FE">
              <w:rPr>
                <w:rFonts w:ascii="Arial" w:eastAsia="Times New Roman" w:hAnsi="Arial" w:cs="Arial"/>
                <w:b/>
                <w:bCs/>
                <w:i/>
                <w:iCs/>
                <w:color w:val="000000"/>
                <w:sz w:val="24"/>
                <w:szCs w:val="24"/>
              </w:rPr>
              <w:t>and</w:t>
            </w:r>
            <w:r w:rsidRPr="005D01FE">
              <w:rPr>
                <w:rFonts w:ascii="Arial" w:eastAsia="Times New Roman" w:hAnsi="Arial" w:cs="Arial"/>
                <w:color w:val="000000"/>
                <w:sz w:val="24"/>
                <w:szCs w:val="24"/>
              </w:rPr>
              <w:t xml:space="preserve"> the activities are not designed to create new knowledge </w:t>
            </w:r>
            <w:r w:rsidRPr="005D01FE">
              <w:rPr>
                <w:rFonts w:ascii="Arial" w:eastAsia="Times New Roman" w:hAnsi="Arial" w:cs="Arial"/>
                <w:b/>
                <w:bCs/>
                <w:i/>
                <w:iCs/>
                <w:color w:val="000000"/>
                <w:sz w:val="24"/>
                <w:szCs w:val="24"/>
              </w:rPr>
              <w:t>and</w:t>
            </w:r>
            <w:r w:rsidRPr="005D01FE">
              <w:rPr>
                <w:rFonts w:ascii="Arial" w:eastAsia="Times New Roman" w:hAnsi="Arial" w:cs="Arial"/>
                <w:color w:val="000000"/>
                <w:sz w:val="24"/>
                <w:szCs w:val="24"/>
              </w:rPr>
              <w:t xml:space="preserve"> are not generalized or presented outside the classroom.</w:t>
            </w:r>
          </w:p>
        </w:tc>
        <w:tc>
          <w:tcPr>
            <w:tcW w:w="2598" w:type="dxa"/>
            <w:tcBorders>
              <w:top w:val="nil"/>
              <w:left w:val="nil"/>
              <w:bottom w:val="single" w:sz="8" w:space="0" w:color="000000"/>
              <w:right w:val="single" w:sz="8" w:space="0" w:color="auto"/>
            </w:tcBorders>
            <w:shd w:val="clear" w:color="auto" w:fill="auto"/>
            <w:hideMark/>
          </w:tcPr>
          <w:p w14:paraId="23D4F772"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NO</w:t>
            </w:r>
          </w:p>
        </w:tc>
      </w:tr>
      <w:tr w:rsidR="005D01FE" w:rsidRPr="005D01FE" w14:paraId="1B63AAD9" w14:textId="77777777" w:rsidTr="005D01FE">
        <w:trPr>
          <w:trHeight w:val="1380"/>
        </w:trPr>
        <w:tc>
          <w:tcPr>
            <w:tcW w:w="3624" w:type="dxa"/>
            <w:tcBorders>
              <w:top w:val="nil"/>
              <w:left w:val="single" w:sz="8" w:space="0" w:color="auto"/>
              <w:bottom w:val="single" w:sz="8" w:space="0" w:color="000000"/>
              <w:right w:val="single" w:sz="8" w:space="0" w:color="000000"/>
            </w:tcBorders>
            <w:shd w:val="clear" w:color="auto" w:fill="auto"/>
            <w:hideMark/>
          </w:tcPr>
          <w:p w14:paraId="531D66A4"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Classroom Activities and Instructional Methods.</w:t>
            </w:r>
          </w:p>
        </w:tc>
        <w:tc>
          <w:tcPr>
            <w:tcW w:w="8216" w:type="dxa"/>
            <w:tcBorders>
              <w:top w:val="nil"/>
              <w:left w:val="nil"/>
              <w:bottom w:val="single" w:sz="8" w:space="0" w:color="000000"/>
              <w:right w:val="single" w:sz="8" w:space="0" w:color="000000"/>
            </w:tcBorders>
            <w:shd w:val="clear" w:color="auto" w:fill="auto"/>
            <w:hideMark/>
          </w:tcPr>
          <w:p w14:paraId="29F774D3"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Educational activities conducted by faculty or instructors in the classroom or with students and the intent is to generalize the information outside of the classroom or publish. This includes use of student records, interviews, surveys or other student data for prospective or retrospective research.</w:t>
            </w:r>
          </w:p>
        </w:tc>
        <w:tc>
          <w:tcPr>
            <w:tcW w:w="2598" w:type="dxa"/>
            <w:tcBorders>
              <w:top w:val="nil"/>
              <w:left w:val="nil"/>
              <w:bottom w:val="single" w:sz="8" w:space="0" w:color="000000"/>
              <w:right w:val="single" w:sz="8" w:space="0" w:color="auto"/>
            </w:tcBorders>
            <w:shd w:val="clear" w:color="auto" w:fill="auto"/>
            <w:hideMark/>
          </w:tcPr>
          <w:p w14:paraId="154994ED"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5D01FE" w:rsidRPr="005D01FE" w14:paraId="2015AC83" w14:textId="77777777" w:rsidTr="005D01FE">
        <w:trPr>
          <w:trHeight w:val="2740"/>
        </w:trPr>
        <w:tc>
          <w:tcPr>
            <w:tcW w:w="3624" w:type="dxa"/>
            <w:tcBorders>
              <w:top w:val="nil"/>
              <w:left w:val="single" w:sz="8" w:space="0" w:color="auto"/>
              <w:bottom w:val="nil"/>
              <w:right w:val="single" w:sz="8" w:space="0" w:color="000000"/>
            </w:tcBorders>
            <w:shd w:val="clear" w:color="auto" w:fill="auto"/>
            <w:hideMark/>
          </w:tcPr>
          <w:p w14:paraId="599E1595"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lastRenderedPageBreak/>
              <w:t>Clinical Investigations</w:t>
            </w:r>
          </w:p>
        </w:tc>
        <w:tc>
          <w:tcPr>
            <w:tcW w:w="8216" w:type="dxa"/>
            <w:tcBorders>
              <w:top w:val="nil"/>
              <w:left w:val="nil"/>
              <w:bottom w:val="single" w:sz="8" w:space="0" w:color="auto"/>
              <w:right w:val="single" w:sz="8" w:space="0" w:color="000000"/>
            </w:tcBorders>
            <w:shd w:val="clear" w:color="auto" w:fill="auto"/>
            <w:hideMark/>
          </w:tcPr>
          <w:p w14:paraId="20AECB4C"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Experiments using an intervention, substance or test article on one or more human subjects to evaluate the effects of those interventions, products or test articles on health related biomedical or behavioral outcomes regardless of FDA status or applicability. Products include foods (dietary supplements that bear a nutrient content claim or a health claim, infant formulas, food and color additives), drugs for human use, medical or diagnostic devices for human use, biological products for human use, and energy emitting products used on humans.</w:t>
            </w:r>
          </w:p>
        </w:tc>
        <w:tc>
          <w:tcPr>
            <w:tcW w:w="2598" w:type="dxa"/>
            <w:tcBorders>
              <w:top w:val="nil"/>
              <w:left w:val="nil"/>
              <w:bottom w:val="single" w:sz="8" w:space="0" w:color="auto"/>
              <w:right w:val="single" w:sz="8" w:space="0" w:color="auto"/>
            </w:tcBorders>
            <w:shd w:val="clear" w:color="auto" w:fill="auto"/>
            <w:hideMark/>
          </w:tcPr>
          <w:p w14:paraId="6CB9F81A"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5D01FE" w:rsidRPr="005D01FE" w14:paraId="3B529C31" w14:textId="77777777" w:rsidTr="005D01FE">
        <w:trPr>
          <w:trHeight w:val="1040"/>
        </w:trPr>
        <w:tc>
          <w:tcPr>
            <w:tcW w:w="3624" w:type="dxa"/>
            <w:vMerge w:val="restart"/>
            <w:tcBorders>
              <w:top w:val="single" w:sz="8" w:space="0" w:color="000000"/>
              <w:left w:val="single" w:sz="8" w:space="0" w:color="auto"/>
              <w:bottom w:val="single" w:sz="8" w:space="0" w:color="000000"/>
              <w:right w:val="single" w:sz="8" w:space="0" w:color="000000"/>
            </w:tcBorders>
            <w:shd w:val="clear" w:color="auto" w:fill="auto"/>
            <w:hideMark/>
          </w:tcPr>
          <w:p w14:paraId="7A87D615"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Focus Groups and Interviews</w:t>
            </w:r>
          </w:p>
        </w:tc>
        <w:tc>
          <w:tcPr>
            <w:tcW w:w="8216" w:type="dxa"/>
            <w:tcBorders>
              <w:top w:val="nil"/>
              <w:left w:val="nil"/>
              <w:bottom w:val="single" w:sz="8" w:space="0" w:color="000000"/>
              <w:right w:val="single" w:sz="8" w:space="0" w:color="000000"/>
            </w:tcBorders>
            <w:shd w:val="clear" w:color="auto" w:fill="auto"/>
            <w:hideMark/>
          </w:tcPr>
          <w:p w14:paraId="482CE22F"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When discussing personal experiences or opinions and/or the focus is on people (e.g. how do you rate your ability to handle stress; how often do you run red-lights?)</w:t>
            </w:r>
          </w:p>
        </w:tc>
        <w:tc>
          <w:tcPr>
            <w:tcW w:w="2598" w:type="dxa"/>
            <w:tcBorders>
              <w:top w:val="nil"/>
              <w:left w:val="nil"/>
              <w:bottom w:val="single" w:sz="8" w:space="0" w:color="000000"/>
              <w:right w:val="single" w:sz="8" w:space="0" w:color="auto"/>
            </w:tcBorders>
            <w:shd w:val="clear" w:color="auto" w:fill="auto"/>
            <w:hideMark/>
          </w:tcPr>
          <w:p w14:paraId="7CEDF6F8"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5D01FE" w:rsidRPr="005D01FE" w14:paraId="53E91CA4" w14:textId="77777777" w:rsidTr="005D01FE">
        <w:trPr>
          <w:trHeight w:val="860"/>
        </w:trPr>
        <w:tc>
          <w:tcPr>
            <w:tcW w:w="3624" w:type="dxa"/>
            <w:vMerge/>
            <w:tcBorders>
              <w:top w:val="single" w:sz="8" w:space="0" w:color="000000"/>
              <w:left w:val="single" w:sz="8" w:space="0" w:color="auto"/>
              <w:bottom w:val="single" w:sz="8" w:space="0" w:color="000000"/>
              <w:right w:val="single" w:sz="8" w:space="0" w:color="000000"/>
            </w:tcBorders>
            <w:hideMark/>
          </w:tcPr>
          <w:p w14:paraId="6B3ED0AD" w14:textId="77777777" w:rsidR="005D01FE" w:rsidRPr="005D01FE" w:rsidRDefault="005D01FE" w:rsidP="005D01FE">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63D8649F"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When discussing non-human topics and the focus is on things instead of people (e.g. discussions on the differences between product A and product B)</w:t>
            </w:r>
          </w:p>
        </w:tc>
        <w:tc>
          <w:tcPr>
            <w:tcW w:w="2598" w:type="dxa"/>
            <w:tcBorders>
              <w:top w:val="nil"/>
              <w:left w:val="nil"/>
              <w:bottom w:val="single" w:sz="8" w:space="0" w:color="000000"/>
              <w:right w:val="single" w:sz="8" w:space="0" w:color="auto"/>
            </w:tcBorders>
            <w:shd w:val="clear" w:color="auto" w:fill="auto"/>
            <w:hideMark/>
          </w:tcPr>
          <w:p w14:paraId="7F9917A0"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NO</w:t>
            </w:r>
          </w:p>
        </w:tc>
      </w:tr>
      <w:tr w:rsidR="005D01FE" w:rsidRPr="005D01FE" w14:paraId="33FC6C6F" w14:textId="77777777" w:rsidTr="005D01FE">
        <w:trPr>
          <w:trHeight w:val="1040"/>
        </w:trPr>
        <w:tc>
          <w:tcPr>
            <w:tcW w:w="3624" w:type="dxa"/>
            <w:tcBorders>
              <w:top w:val="nil"/>
              <w:left w:val="single" w:sz="8" w:space="0" w:color="auto"/>
              <w:bottom w:val="single" w:sz="8" w:space="0" w:color="auto"/>
              <w:right w:val="single" w:sz="8" w:space="0" w:color="000000"/>
            </w:tcBorders>
            <w:shd w:val="clear" w:color="auto" w:fill="auto"/>
            <w:hideMark/>
          </w:tcPr>
          <w:p w14:paraId="30FCAF39"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Human Factors Evaluation</w:t>
            </w:r>
          </w:p>
        </w:tc>
        <w:tc>
          <w:tcPr>
            <w:tcW w:w="8216" w:type="dxa"/>
            <w:tcBorders>
              <w:top w:val="nil"/>
              <w:left w:val="nil"/>
              <w:bottom w:val="single" w:sz="8" w:space="0" w:color="auto"/>
              <w:right w:val="single" w:sz="8" w:space="0" w:color="000000"/>
            </w:tcBorders>
            <w:shd w:val="clear" w:color="auto" w:fill="auto"/>
            <w:hideMark/>
          </w:tcPr>
          <w:p w14:paraId="68DAE9E8"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Observing, recording, measuring or testing human behavior, cognition, interaction, performance, psychophysiology or anthropometry in a natural or laboratory environment for research applications.</w:t>
            </w:r>
          </w:p>
        </w:tc>
        <w:tc>
          <w:tcPr>
            <w:tcW w:w="2598" w:type="dxa"/>
            <w:tcBorders>
              <w:top w:val="nil"/>
              <w:left w:val="nil"/>
              <w:bottom w:val="single" w:sz="8" w:space="0" w:color="auto"/>
              <w:right w:val="single" w:sz="8" w:space="0" w:color="auto"/>
            </w:tcBorders>
            <w:shd w:val="clear" w:color="auto" w:fill="auto"/>
            <w:hideMark/>
          </w:tcPr>
          <w:p w14:paraId="314C5F12"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5D01FE" w:rsidRPr="005D01FE" w14:paraId="523F346A" w14:textId="77777777" w:rsidTr="005D01FE">
        <w:trPr>
          <w:trHeight w:val="1720"/>
        </w:trPr>
        <w:tc>
          <w:tcPr>
            <w:tcW w:w="3624" w:type="dxa"/>
            <w:vMerge w:val="restart"/>
            <w:tcBorders>
              <w:top w:val="nil"/>
              <w:left w:val="single" w:sz="8" w:space="0" w:color="auto"/>
              <w:bottom w:val="single" w:sz="8" w:space="0" w:color="000000"/>
              <w:right w:val="single" w:sz="8" w:space="0" w:color="000000"/>
            </w:tcBorders>
            <w:shd w:val="clear" w:color="auto" w:fill="auto"/>
            <w:hideMark/>
          </w:tcPr>
          <w:p w14:paraId="75D89ED6"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Innovative or Novel Procedures, Treatment, or Instructional Methods</w:t>
            </w:r>
          </w:p>
        </w:tc>
        <w:tc>
          <w:tcPr>
            <w:tcW w:w="8216" w:type="dxa"/>
            <w:tcBorders>
              <w:top w:val="nil"/>
              <w:left w:val="nil"/>
              <w:bottom w:val="single" w:sz="8" w:space="0" w:color="000000"/>
              <w:right w:val="single" w:sz="8" w:space="0" w:color="000000"/>
            </w:tcBorders>
            <w:shd w:val="clear" w:color="auto" w:fill="auto"/>
            <w:hideMark/>
          </w:tcPr>
          <w:p w14:paraId="125260A5"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Systematic investigation of innovations in diagnostic, therapeutic procedure or instructional methods in multiple participants in order to compare to standard of care or normal procedure. The investigation is designed to test a hypothesis, permit conclusions to be drawn, thus to develop or contribute to generalizable knowledge.</w:t>
            </w:r>
          </w:p>
        </w:tc>
        <w:tc>
          <w:tcPr>
            <w:tcW w:w="2598" w:type="dxa"/>
            <w:tcBorders>
              <w:top w:val="nil"/>
              <w:left w:val="nil"/>
              <w:bottom w:val="single" w:sz="8" w:space="0" w:color="000000"/>
              <w:right w:val="single" w:sz="8" w:space="0" w:color="auto"/>
            </w:tcBorders>
            <w:shd w:val="clear" w:color="auto" w:fill="auto"/>
            <w:hideMark/>
          </w:tcPr>
          <w:p w14:paraId="7D5258CE"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5D01FE" w:rsidRPr="005D01FE" w14:paraId="022FBE50" w14:textId="77777777" w:rsidTr="005D01FE">
        <w:trPr>
          <w:trHeight w:val="1720"/>
        </w:trPr>
        <w:tc>
          <w:tcPr>
            <w:tcW w:w="3624" w:type="dxa"/>
            <w:vMerge/>
            <w:tcBorders>
              <w:top w:val="nil"/>
              <w:left w:val="single" w:sz="8" w:space="0" w:color="auto"/>
              <w:bottom w:val="single" w:sz="8" w:space="0" w:color="000000"/>
              <w:right w:val="single" w:sz="8" w:space="0" w:color="000000"/>
            </w:tcBorders>
            <w:hideMark/>
          </w:tcPr>
          <w:p w14:paraId="5DCAB540" w14:textId="77777777" w:rsidR="005D01FE" w:rsidRPr="005D01FE" w:rsidRDefault="005D01FE" w:rsidP="005D01FE">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auto"/>
              <w:right w:val="single" w:sz="8" w:space="0" w:color="000000"/>
            </w:tcBorders>
            <w:shd w:val="clear" w:color="auto" w:fill="auto"/>
            <w:hideMark/>
          </w:tcPr>
          <w:p w14:paraId="449843EC"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The use of innovative interventions that are designed solely for therapeutic purposes to enhance the well-being of an individual patient with a reasonable expectation of success. The intent of the intervention is to provide diagnosis, preventive treatment, or therapy to an individual patient. Research is not involved.</w:t>
            </w:r>
          </w:p>
        </w:tc>
        <w:tc>
          <w:tcPr>
            <w:tcW w:w="2598" w:type="dxa"/>
            <w:tcBorders>
              <w:top w:val="nil"/>
              <w:left w:val="nil"/>
              <w:bottom w:val="single" w:sz="8" w:space="0" w:color="auto"/>
              <w:right w:val="single" w:sz="8" w:space="0" w:color="auto"/>
            </w:tcBorders>
            <w:shd w:val="clear" w:color="auto" w:fill="auto"/>
            <w:hideMark/>
          </w:tcPr>
          <w:p w14:paraId="20728F40"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NO</w:t>
            </w:r>
          </w:p>
        </w:tc>
      </w:tr>
      <w:tr w:rsidR="005D01FE" w:rsidRPr="005D01FE" w14:paraId="0219B71A" w14:textId="77777777" w:rsidTr="005D01FE">
        <w:trPr>
          <w:trHeight w:val="1040"/>
        </w:trPr>
        <w:tc>
          <w:tcPr>
            <w:tcW w:w="3624" w:type="dxa"/>
            <w:vMerge w:val="restart"/>
            <w:tcBorders>
              <w:top w:val="nil"/>
              <w:left w:val="single" w:sz="8" w:space="0" w:color="auto"/>
              <w:bottom w:val="single" w:sz="8" w:space="0" w:color="000000"/>
              <w:right w:val="single" w:sz="8" w:space="0" w:color="000000"/>
            </w:tcBorders>
            <w:shd w:val="clear" w:color="auto" w:fill="auto"/>
            <w:hideMark/>
          </w:tcPr>
          <w:p w14:paraId="7CA4AE4B"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lastRenderedPageBreak/>
              <w:t>Internet Research</w:t>
            </w:r>
          </w:p>
        </w:tc>
        <w:tc>
          <w:tcPr>
            <w:tcW w:w="8216" w:type="dxa"/>
            <w:tcBorders>
              <w:top w:val="nil"/>
              <w:left w:val="nil"/>
              <w:bottom w:val="single" w:sz="8" w:space="0" w:color="000000"/>
              <w:right w:val="single" w:sz="8" w:space="0" w:color="000000"/>
            </w:tcBorders>
            <w:shd w:val="clear" w:color="auto" w:fill="auto"/>
            <w:hideMark/>
          </w:tcPr>
          <w:p w14:paraId="54BF6C08"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Online websites set up for the purposes of collecting human data regarding a particular topic. This may include the completion of questionnaires/surveys, personal data, etc.</w:t>
            </w:r>
          </w:p>
        </w:tc>
        <w:tc>
          <w:tcPr>
            <w:tcW w:w="2598" w:type="dxa"/>
            <w:tcBorders>
              <w:top w:val="nil"/>
              <w:left w:val="nil"/>
              <w:bottom w:val="single" w:sz="8" w:space="0" w:color="000000"/>
              <w:right w:val="single" w:sz="8" w:space="0" w:color="auto"/>
            </w:tcBorders>
            <w:shd w:val="clear" w:color="auto" w:fill="auto"/>
            <w:hideMark/>
          </w:tcPr>
          <w:p w14:paraId="4EA05854"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5D01FE" w:rsidRPr="005D01FE" w14:paraId="7BD769E1" w14:textId="77777777" w:rsidTr="005D01FE">
        <w:trPr>
          <w:trHeight w:val="1380"/>
        </w:trPr>
        <w:tc>
          <w:tcPr>
            <w:tcW w:w="3624" w:type="dxa"/>
            <w:vMerge/>
            <w:tcBorders>
              <w:top w:val="nil"/>
              <w:left w:val="single" w:sz="8" w:space="0" w:color="auto"/>
              <w:bottom w:val="single" w:sz="8" w:space="0" w:color="000000"/>
              <w:right w:val="single" w:sz="8" w:space="0" w:color="000000"/>
            </w:tcBorders>
            <w:hideMark/>
          </w:tcPr>
          <w:p w14:paraId="2F920995" w14:textId="77777777" w:rsidR="005D01FE" w:rsidRPr="005D01FE" w:rsidRDefault="005D01FE" w:rsidP="005D01FE">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10866842"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Harvesting, mining, profiling, observing or recording identifiable data from sites such as blogs, chat rooms, or social media postings, etc.; or entering restricted or pay sites where there are restrictions of use or expectations of privacy/confidentiality;</w:t>
            </w:r>
          </w:p>
        </w:tc>
        <w:tc>
          <w:tcPr>
            <w:tcW w:w="2598" w:type="dxa"/>
            <w:tcBorders>
              <w:top w:val="nil"/>
              <w:left w:val="nil"/>
              <w:bottom w:val="single" w:sz="8" w:space="0" w:color="000000"/>
              <w:right w:val="single" w:sz="8" w:space="0" w:color="auto"/>
            </w:tcBorders>
            <w:shd w:val="clear" w:color="auto" w:fill="auto"/>
            <w:hideMark/>
          </w:tcPr>
          <w:p w14:paraId="0F5A6F44"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5D01FE" w:rsidRPr="005D01FE" w14:paraId="2F06A4FA" w14:textId="77777777" w:rsidTr="005D01FE">
        <w:trPr>
          <w:trHeight w:val="700"/>
        </w:trPr>
        <w:tc>
          <w:tcPr>
            <w:tcW w:w="3624" w:type="dxa"/>
            <w:vMerge/>
            <w:tcBorders>
              <w:top w:val="nil"/>
              <w:left w:val="single" w:sz="8" w:space="0" w:color="auto"/>
              <w:bottom w:val="single" w:sz="8" w:space="0" w:color="000000"/>
              <w:right w:val="single" w:sz="8" w:space="0" w:color="000000"/>
            </w:tcBorders>
            <w:hideMark/>
          </w:tcPr>
          <w:p w14:paraId="1205D3A7" w14:textId="77777777" w:rsidR="005D01FE" w:rsidRPr="005D01FE" w:rsidRDefault="005D01FE" w:rsidP="005D01FE">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04956B57"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Submitting information or interacting with internet sites in order to measure influence on behaviors or other outcomes.</w:t>
            </w:r>
          </w:p>
        </w:tc>
        <w:tc>
          <w:tcPr>
            <w:tcW w:w="2598" w:type="dxa"/>
            <w:tcBorders>
              <w:top w:val="nil"/>
              <w:left w:val="nil"/>
              <w:bottom w:val="single" w:sz="8" w:space="0" w:color="000000"/>
              <w:right w:val="single" w:sz="8" w:space="0" w:color="auto"/>
            </w:tcBorders>
            <w:shd w:val="clear" w:color="auto" w:fill="auto"/>
            <w:hideMark/>
          </w:tcPr>
          <w:p w14:paraId="73438886"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5D01FE" w:rsidRPr="005D01FE" w14:paraId="0ED38345" w14:textId="77777777" w:rsidTr="005D01FE">
        <w:trPr>
          <w:trHeight w:val="1040"/>
        </w:trPr>
        <w:tc>
          <w:tcPr>
            <w:tcW w:w="3624" w:type="dxa"/>
            <w:tcBorders>
              <w:top w:val="nil"/>
              <w:left w:val="single" w:sz="8" w:space="0" w:color="auto"/>
              <w:bottom w:val="single" w:sz="8" w:space="0" w:color="000000"/>
              <w:right w:val="single" w:sz="8" w:space="0" w:color="000000"/>
            </w:tcBorders>
            <w:shd w:val="clear" w:color="auto" w:fill="auto"/>
            <w:hideMark/>
          </w:tcPr>
          <w:p w14:paraId="2CF3CAF6"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Literature Review</w:t>
            </w:r>
          </w:p>
        </w:tc>
        <w:tc>
          <w:tcPr>
            <w:tcW w:w="8216" w:type="dxa"/>
            <w:tcBorders>
              <w:top w:val="nil"/>
              <w:left w:val="nil"/>
              <w:bottom w:val="single" w:sz="8" w:space="0" w:color="000000"/>
              <w:right w:val="single" w:sz="8" w:space="0" w:color="000000"/>
            </w:tcBorders>
            <w:shd w:val="clear" w:color="auto" w:fill="auto"/>
            <w:hideMark/>
          </w:tcPr>
          <w:p w14:paraId="1FBE10EE"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 xml:space="preserve">An assessment of a body of </w:t>
            </w:r>
            <w:r w:rsidRPr="005D01FE">
              <w:rPr>
                <w:rFonts w:ascii="Arial" w:eastAsia="Times New Roman" w:hAnsi="Arial" w:cs="Arial"/>
                <w:b/>
                <w:bCs/>
                <w:i/>
                <w:iCs/>
                <w:color w:val="000000"/>
                <w:sz w:val="24"/>
                <w:szCs w:val="24"/>
              </w:rPr>
              <w:t>published</w:t>
            </w:r>
            <w:r w:rsidRPr="005D01FE">
              <w:rPr>
                <w:rFonts w:ascii="Arial" w:eastAsia="Times New Roman" w:hAnsi="Arial" w:cs="Arial"/>
                <w:b/>
                <w:bCs/>
                <w:color w:val="000000"/>
                <w:sz w:val="24"/>
                <w:szCs w:val="24"/>
              </w:rPr>
              <w:t xml:space="preserve"> </w:t>
            </w:r>
            <w:r w:rsidRPr="005D01FE">
              <w:rPr>
                <w:rFonts w:ascii="Arial" w:eastAsia="Times New Roman" w:hAnsi="Arial" w:cs="Arial"/>
                <w:color w:val="000000"/>
                <w:sz w:val="24"/>
                <w:szCs w:val="24"/>
              </w:rPr>
              <w:t>material that addresses a research question. Identifies or summarizes what is already known about an area of study or may identify questions a body of research does not answer.</w:t>
            </w:r>
          </w:p>
        </w:tc>
        <w:tc>
          <w:tcPr>
            <w:tcW w:w="2598" w:type="dxa"/>
            <w:tcBorders>
              <w:top w:val="nil"/>
              <w:left w:val="nil"/>
              <w:bottom w:val="single" w:sz="8" w:space="0" w:color="000000"/>
              <w:right w:val="single" w:sz="8" w:space="0" w:color="auto"/>
            </w:tcBorders>
            <w:shd w:val="clear" w:color="auto" w:fill="auto"/>
            <w:hideMark/>
          </w:tcPr>
          <w:p w14:paraId="599C3637"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NO</w:t>
            </w:r>
          </w:p>
        </w:tc>
      </w:tr>
      <w:tr w:rsidR="005D01FE" w:rsidRPr="005D01FE" w14:paraId="1864478D" w14:textId="77777777" w:rsidTr="005D01FE">
        <w:trPr>
          <w:trHeight w:val="700"/>
        </w:trPr>
        <w:tc>
          <w:tcPr>
            <w:tcW w:w="3624" w:type="dxa"/>
            <w:tcBorders>
              <w:top w:val="nil"/>
              <w:left w:val="single" w:sz="8" w:space="0" w:color="auto"/>
              <w:bottom w:val="single" w:sz="8" w:space="0" w:color="000000"/>
              <w:right w:val="single" w:sz="8" w:space="0" w:color="000000"/>
            </w:tcBorders>
            <w:shd w:val="clear" w:color="auto" w:fill="auto"/>
            <w:hideMark/>
          </w:tcPr>
          <w:p w14:paraId="635FAFA0"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Pilot Studies</w:t>
            </w:r>
          </w:p>
        </w:tc>
        <w:tc>
          <w:tcPr>
            <w:tcW w:w="8216" w:type="dxa"/>
            <w:tcBorders>
              <w:top w:val="nil"/>
              <w:left w:val="nil"/>
              <w:bottom w:val="single" w:sz="8" w:space="0" w:color="000000"/>
              <w:right w:val="single" w:sz="8" w:space="0" w:color="000000"/>
            </w:tcBorders>
            <w:shd w:val="clear" w:color="auto" w:fill="auto"/>
            <w:hideMark/>
          </w:tcPr>
          <w:p w14:paraId="68E18ADA"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Pilot studies that meet the definition of human research, regardless of the number of subjects enrolled or the duration of the studies.</w:t>
            </w:r>
          </w:p>
        </w:tc>
        <w:tc>
          <w:tcPr>
            <w:tcW w:w="2598" w:type="dxa"/>
            <w:tcBorders>
              <w:top w:val="nil"/>
              <w:left w:val="nil"/>
              <w:bottom w:val="single" w:sz="8" w:space="0" w:color="000000"/>
              <w:right w:val="single" w:sz="8" w:space="0" w:color="auto"/>
            </w:tcBorders>
            <w:shd w:val="clear" w:color="auto" w:fill="auto"/>
            <w:hideMark/>
          </w:tcPr>
          <w:p w14:paraId="2F98C575"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5D01FE" w:rsidRPr="005D01FE" w14:paraId="5D5DE6EC" w14:textId="77777777" w:rsidTr="005D01FE">
        <w:trPr>
          <w:trHeight w:val="1040"/>
        </w:trPr>
        <w:tc>
          <w:tcPr>
            <w:tcW w:w="3624" w:type="dxa"/>
            <w:tcBorders>
              <w:top w:val="nil"/>
              <w:left w:val="single" w:sz="8" w:space="0" w:color="auto"/>
              <w:bottom w:val="single" w:sz="8" w:space="0" w:color="000000"/>
              <w:right w:val="single" w:sz="8" w:space="0" w:color="000000"/>
            </w:tcBorders>
            <w:shd w:val="clear" w:color="auto" w:fill="auto"/>
            <w:hideMark/>
          </w:tcPr>
          <w:p w14:paraId="5A19B919"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Professional Recognition</w:t>
            </w:r>
          </w:p>
        </w:tc>
        <w:tc>
          <w:tcPr>
            <w:tcW w:w="8216" w:type="dxa"/>
            <w:tcBorders>
              <w:top w:val="nil"/>
              <w:left w:val="nil"/>
              <w:bottom w:val="single" w:sz="8" w:space="0" w:color="000000"/>
              <w:right w:val="single" w:sz="8" w:space="0" w:color="000000"/>
            </w:tcBorders>
            <w:shd w:val="clear" w:color="auto" w:fill="auto"/>
            <w:hideMark/>
          </w:tcPr>
          <w:p w14:paraId="27DEDBDC"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Employees or agents of Auburn University involved in human research projects carried out at other locations when the services performed merit professional recognition or publication privileges.</w:t>
            </w:r>
          </w:p>
        </w:tc>
        <w:tc>
          <w:tcPr>
            <w:tcW w:w="2598" w:type="dxa"/>
            <w:tcBorders>
              <w:top w:val="nil"/>
              <w:left w:val="nil"/>
              <w:bottom w:val="single" w:sz="8" w:space="0" w:color="000000"/>
              <w:right w:val="single" w:sz="8" w:space="0" w:color="auto"/>
            </w:tcBorders>
            <w:shd w:val="clear" w:color="auto" w:fill="auto"/>
            <w:hideMark/>
          </w:tcPr>
          <w:p w14:paraId="2BA5505A"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5D01FE" w:rsidRPr="005D01FE" w14:paraId="124234EE" w14:textId="77777777" w:rsidTr="005D01FE">
        <w:trPr>
          <w:trHeight w:val="700"/>
        </w:trPr>
        <w:tc>
          <w:tcPr>
            <w:tcW w:w="3624" w:type="dxa"/>
            <w:vMerge w:val="restart"/>
            <w:tcBorders>
              <w:top w:val="nil"/>
              <w:left w:val="single" w:sz="8" w:space="0" w:color="auto"/>
              <w:bottom w:val="single" w:sz="8" w:space="0" w:color="000000"/>
              <w:right w:val="single" w:sz="8" w:space="0" w:color="000000"/>
            </w:tcBorders>
            <w:shd w:val="clear" w:color="auto" w:fill="auto"/>
            <w:hideMark/>
          </w:tcPr>
          <w:p w14:paraId="7670DB00"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Program Evaluation</w:t>
            </w:r>
          </w:p>
        </w:tc>
        <w:tc>
          <w:tcPr>
            <w:tcW w:w="8216" w:type="dxa"/>
            <w:tcBorders>
              <w:top w:val="nil"/>
              <w:left w:val="nil"/>
              <w:bottom w:val="single" w:sz="8" w:space="0" w:color="000000"/>
              <w:right w:val="single" w:sz="8" w:space="0" w:color="000000"/>
            </w:tcBorders>
            <w:shd w:val="clear" w:color="auto" w:fill="auto"/>
            <w:hideMark/>
          </w:tcPr>
          <w:p w14:paraId="628E92B9"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Evaluation will be used for internal reporting purposes only or for funding agency reporting and will not be published.</w:t>
            </w:r>
          </w:p>
        </w:tc>
        <w:tc>
          <w:tcPr>
            <w:tcW w:w="2598" w:type="dxa"/>
            <w:tcBorders>
              <w:top w:val="nil"/>
              <w:left w:val="nil"/>
              <w:bottom w:val="single" w:sz="8" w:space="0" w:color="000000"/>
              <w:right w:val="single" w:sz="8" w:space="0" w:color="auto"/>
            </w:tcBorders>
            <w:shd w:val="clear" w:color="auto" w:fill="auto"/>
            <w:hideMark/>
          </w:tcPr>
          <w:p w14:paraId="129FA9A3"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NO</w:t>
            </w:r>
          </w:p>
        </w:tc>
      </w:tr>
      <w:tr w:rsidR="005D01FE" w:rsidRPr="005D01FE" w14:paraId="56C83E78" w14:textId="77777777" w:rsidTr="005D01FE">
        <w:trPr>
          <w:trHeight w:val="700"/>
        </w:trPr>
        <w:tc>
          <w:tcPr>
            <w:tcW w:w="3624" w:type="dxa"/>
            <w:vMerge/>
            <w:tcBorders>
              <w:top w:val="nil"/>
              <w:left w:val="single" w:sz="8" w:space="0" w:color="auto"/>
              <w:bottom w:val="single" w:sz="8" w:space="0" w:color="000000"/>
              <w:right w:val="single" w:sz="8" w:space="0" w:color="000000"/>
            </w:tcBorders>
            <w:hideMark/>
          </w:tcPr>
          <w:p w14:paraId="10F54EE7" w14:textId="77777777" w:rsidR="005D01FE" w:rsidRPr="005D01FE" w:rsidRDefault="005D01FE" w:rsidP="005D01FE">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2DE0AF7D"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Evaluation will be disseminated outside of the institution, generalized or published.</w:t>
            </w:r>
          </w:p>
        </w:tc>
        <w:tc>
          <w:tcPr>
            <w:tcW w:w="2598" w:type="dxa"/>
            <w:tcBorders>
              <w:top w:val="nil"/>
              <w:left w:val="nil"/>
              <w:bottom w:val="single" w:sz="8" w:space="0" w:color="000000"/>
              <w:right w:val="single" w:sz="8" w:space="0" w:color="auto"/>
            </w:tcBorders>
            <w:shd w:val="clear" w:color="auto" w:fill="auto"/>
            <w:hideMark/>
          </w:tcPr>
          <w:p w14:paraId="1FB91166"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5D01FE" w:rsidRPr="005D01FE" w14:paraId="09DF351D" w14:textId="77777777" w:rsidTr="005D01FE">
        <w:trPr>
          <w:trHeight w:val="1380"/>
        </w:trPr>
        <w:tc>
          <w:tcPr>
            <w:tcW w:w="3624" w:type="dxa"/>
            <w:tcBorders>
              <w:top w:val="nil"/>
              <w:left w:val="single" w:sz="8" w:space="0" w:color="auto"/>
              <w:bottom w:val="single" w:sz="8" w:space="0" w:color="000000"/>
              <w:right w:val="single" w:sz="8" w:space="0" w:color="000000"/>
            </w:tcBorders>
            <w:shd w:val="clear" w:color="auto" w:fill="auto"/>
            <w:hideMark/>
          </w:tcPr>
          <w:p w14:paraId="5B117701"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Public Health Surveillance Activities</w:t>
            </w:r>
          </w:p>
        </w:tc>
        <w:tc>
          <w:tcPr>
            <w:tcW w:w="8216" w:type="dxa"/>
            <w:tcBorders>
              <w:top w:val="nil"/>
              <w:left w:val="nil"/>
              <w:bottom w:val="single" w:sz="8" w:space="0" w:color="000000"/>
              <w:right w:val="single" w:sz="8" w:space="0" w:color="000000"/>
            </w:tcBorders>
            <w:shd w:val="clear" w:color="auto" w:fill="auto"/>
            <w:hideMark/>
          </w:tcPr>
          <w:p w14:paraId="480F5367"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Limited to those activities necessary to allow a public health authority to provide timely situational awareness or set priorities during an event or crisis that threatens public health. Researchers must have a written request, authorization, or contract from a Public Health Authority.</w:t>
            </w:r>
          </w:p>
        </w:tc>
        <w:tc>
          <w:tcPr>
            <w:tcW w:w="2598" w:type="dxa"/>
            <w:tcBorders>
              <w:top w:val="nil"/>
              <w:left w:val="nil"/>
              <w:bottom w:val="single" w:sz="8" w:space="0" w:color="000000"/>
              <w:right w:val="single" w:sz="8" w:space="0" w:color="auto"/>
            </w:tcBorders>
            <w:shd w:val="clear" w:color="auto" w:fill="auto"/>
            <w:hideMark/>
          </w:tcPr>
          <w:p w14:paraId="0EFF81CB"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NO</w:t>
            </w:r>
          </w:p>
        </w:tc>
      </w:tr>
      <w:tr w:rsidR="005D01FE" w:rsidRPr="005D01FE" w14:paraId="3E7DA832" w14:textId="77777777" w:rsidTr="005D01FE">
        <w:trPr>
          <w:trHeight w:val="1720"/>
        </w:trPr>
        <w:tc>
          <w:tcPr>
            <w:tcW w:w="3624" w:type="dxa"/>
            <w:vMerge w:val="restart"/>
            <w:tcBorders>
              <w:top w:val="nil"/>
              <w:left w:val="single" w:sz="8" w:space="0" w:color="auto"/>
              <w:bottom w:val="nil"/>
              <w:right w:val="single" w:sz="8" w:space="0" w:color="000000"/>
            </w:tcBorders>
            <w:shd w:val="clear" w:color="auto" w:fill="auto"/>
            <w:hideMark/>
          </w:tcPr>
          <w:p w14:paraId="53054C69"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lastRenderedPageBreak/>
              <w:t>Quality Assurance (QA) and Quality Improvement (QI) Activities</w:t>
            </w:r>
          </w:p>
        </w:tc>
        <w:tc>
          <w:tcPr>
            <w:tcW w:w="8216" w:type="dxa"/>
            <w:tcBorders>
              <w:top w:val="nil"/>
              <w:left w:val="nil"/>
              <w:bottom w:val="nil"/>
              <w:right w:val="single" w:sz="8" w:space="0" w:color="000000"/>
            </w:tcBorders>
            <w:shd w:val="clear" w:color="auto" w:fill="auto"/>
            <w:hideMark/>
          </w:tcPr>
          <w:p w14:paraId="0D513ECD"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 xml:space="preserve">Systematic, data-guided activities involving humans designed to implement promising ways to improve outcomes, system performance or professional development and are intended to be generalized or used beyond the local setting </w:t>
            </w:r>
            <w:r w:rsidRPr="005D01FE">
              <w:rPr>
                <w:rFonts w:ascii="Arial" w:eastAsia="Times New Roman" w:hAnsi="Arial" w:cs="Arial"/>
                <w:b/>
                <w:bCs/>
                <w:color w:val="000000"/>
                <w:sz w:val="24"/>
                <w:szCs w:val="24"/>
              </w:rPr>
              <w:t xml:space="preserve">or </w:t>
            </w:r>
            <w:r w:rsidRPr="005D01FE">
              <w:rPr>
                <w:rFonts w:ascii="Arial" w:eastAsia="Times New Roman" w:hAnsi="Arial" w:cs="Arial"/>
                <w:color w:val="000000"/>
                <w:sz w:val="24"/>
                <w:szCs w:val="24"/>
              </w:rPr>
              <w:t>have research intent, or address a specific deficit in scientific knowledge.</w:t>
            </w:r>
          </w:p>
        </w:tc>
        <w:tc>
          <w:tcPr>
            <w:tcW w:w="2598" w:type="dxa"/>
            <w:tcBorders>
              <w:top w:val="nil"/>
              <w:left w:val="nil"/>
              <w:bottom w:val="nil"/>
              <w:right w:val="single" w:sz="8" w:space="0" w:color="auto"/>
            </w:tcBorders>
            <w:shd w:val="clear" w:color="auto" w:fill="auto"/>
            <w:hideMark/>
          </w:tcPr>
          <w:p w14:paraId="00E2EC1C"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5D01FE" w:rsidRPr="005D01FE" w14:paraId="32BC4E61" w14:textId="77777777" w:rsidTr="005D01FE">
        <w:trPr>
          <w:trHeight w:val="680"/>
        </w:trPr>
        <w:tc>
          <w:tcPr>
            <w:tcW w:w="3624" w:type="dxa"/>
            <w:vMerge/>
            <w:tcBorders>
              <w:top w:val="nil"/>
              <w:left w:val="single" w:sz="8" w:space="0" w:color="auto"/>
              <w:bottom w:val="nil"/>
              <w:right w:val="single" w:sz="8" w:space="0" w:color="000000"/>
            </w:tcBorders>
            <w:hideMark/>
          </w:tcPr>
          <w:p w14:paraId="75AA6907" w14:textId="77777777" w:rsidR="005D01FE" w:rsidRPr="005D01FE" w:rsidRDefault="005D01FE" w:rsidP="005D01FE">
            <w:pPr>
              <w:spacing w:after="0" w:line="240" w:lineRule="auto"/>
              <w:rPr>
                <w:rFonts w:ascii="Arial" w:eastAsia="Times New Roman" w:hAnsi="Arial" w:cs="Arial"/>
                <w:color w:val="000000"/>
                <w:sz w:val="24"/>
                <w:szCs w:val="24"/>
              </w:rPr>
            </w:pPr>
          </w:p>
        </w:tc>
        <w:tc>
          <w:tcPr>
            <w:tcW w:w="8216" w:type="dxa"/>
            <w:tcBorders>
              <w:top w:val="single" w:sz="8" w:space="0" w:color="auto"/>
              <w:left w:val="single" w:sz="8" w:space="0" w:color="auto"/>
              <w:bottom w:val="nil"/>
              <w:right w:val="single" w:sz="8" w:space="0" w:color="auto"/>
            </w:tcBorders>
            <w:shd w:val="clear" w:color="auto" w:fill="auto"/>
            <w:hideMark/>
          </w:tcPr>
          <w:p w14:paraId="258C386A"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 xml:space="preserve">The proposed QA/QI activity is confined to the local setting </w:t>
            </w:r>
            <w:r w:rsidRPr="005D01FE">
              <w:rPr>
                <w:rFonts w:ascii="Arial" w:eastAsia="Times New Roman" w:hAnsi="Arial" w:cs="Arial"/>
                <w:b/>
                <w:bCs/>
                <w:i/>
                <w:iCs/>
                <w:color w:val="000000"/>
                <w:sz w:val="24"/>
                <w:szCs w:val="24"/>
              </w:rPr>
              <w:t>and</w:t>
            </w:r>
            <w:r w:rsidRPr="005D01FE">
              <w:rPr>
                <w:rFonts w:ascii="Arial" w:eastAsia="Times New Roman" w:hAnsi="Arial" w:cs="Arial"/>
                <w:color w:val="000000"/>
                <w:sz w:val="24"/>
                <w:szCs w:val="24"/>
              </w:rPr>
              <w:t xml:space="preserve"> the information will not be used or shared beyond the local system.</w:t>
            </w:r>
          </w:p>
        </w:tc>
        <w:tc>
          <w:tcPr>
            <w:tcW w:w="259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F5D128D"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NO</w:t>
            </w:r>
          </w:p>
        </w:tc>
      </w:tr>
      <w:tr w:rsidR="005D01FE" w:rsidRPr="005D01FE" w14:paraId="198DCF84" w14:textId="77777777" w:rsidTr="005D01FE">
        <w:trPr>
          <w:trHeight w:val="1380"/>
        </w:trPr>
        <w:tc>
          <w:tcPr>
            <w:tcW w:w="3624" w:type="dxa"/>
            <w:vMerge/>
            <w:tcBorders>
              <w:top w:val="nil"/>
              <w:left w:val="single" w:sz="8" w:space="0" w:color="auto"/>
              <w:bottom w:val="nil"/>
              <w:right w:val="single" w:sz="8" w:space="0" w:color="000000"/>
            </w:tcBorders>
            <w:hideMark/>
          </w:tcPr>
          <w:p w14:paraId="7D17A478" w14:textId="77777777" w:rsidR="005D01FE" w:rsidRPr="005D01FE" w:rsidRDefault="005D01FE" w:rsidP="005D01FE">
            <w:pPr>
              <w:spacing w:after="0" w:line="240" w:lineRule="auto"/>
              <w:rPr>
                <w:rFonts w:ascii="Arial" w:eastAsia="Times New Roman" w:hAnsi="Arial" w:cs="Arial"/>
                <w:color w:val="000000"/>
                <w:sz w:val="24"/>
                <w:szCs w:val="24"/>
              </w:rPr>
            </w:pPr>
          </w:p>
        </w:tc>
        <w:tc>
          <w:tcPr>
            <w:tcW w:w="8216" w:type="dxa"/>
            <w:tcBorders>
              <w:top w:val="nil"/>
              <w:left w:val="single" w:sz="8" w:space="0" w:color="auto"/>
              <w:bottom w:val="single" w:sz="8" w:space="0" w:color="auto"/>
              <w:right w:val="single" w:sz="8" w:space="0" w:color="auto"/>
            </w:tcBorders>
            <w:shd w:val="clear" w:color="auto" w:fill="auto"/>
            <w:hideMark/>
          </w:tcPr>
          <w:p w14:paraId="0F0D9502" w14:textId="77777777" w:rsidR="005D01FE" w:rsidRPr="005D01FE" w:rsidRDefault="005D01FE" w:rsidP="005D01FE">
            <w:pPr>
              <w:spacing w:after="0" w:line="240" w:lineRule="auto"/>
              <w:rPr>
                <w:rFonts w:ascii="Arial" w:eastAsia="Times New Roman" w:hAnsi="Arial" w:cs="Arial"/>
                <w:b/>
                <w:bCs/>
                <w:color w:val="000000"/>
                <w:sz w:val="24"/>
                <w:szCs w:val="24"/>
              </w:rPr>
            </w:pPr>
            <w:r w:rsidRPr="005D01FE">
              <w:rPr>
                <w:rFonts w:ascii="Arial" w:eastAsia="Times New Roman" w:hAnsi="Arial" w:cs="Arial"/>
                <w:b/>
                <w:bCs/>
                <w:color w:val="000000"/>
                <w:sz w:val="24"/>
              </w:rPr>
              <w:t xml:space="preserve">Guidance: </w:t>
            </w:r>
            <w:r w:rsidRPr="005D01FE">
              <w:rPr>
                <w:rFonts w:ascii="Arial" w:eastAsia="Times New Roman" w:hAnsi="Arial" w:cs="Arial"/>
                <w:color w:val="000000"/>
                <w:sz w:val="24"/>
                <w:szCs w:val="24"/>
              </w:rPr>
              <w:t>Intent is only one element considered. QI and research often overlap. A QA/QI activity often involves an iterative process that may change over time in response to ongoing feedback. The plan includes mechanisms for assessment, intervention, analysis and implementation.</w:t>
            </w:r>
          </w:p>
        </w:tc>
        <w:tc>
          <w:tcPr>
            <w:tcW w:w="2598" w:type="dxa"/>
            <w:vMerge/>
            <w:tcBorders>
              <w:top w:val="single" w:sz="8" w:space="0" w:color="auto"/>
              <w:left w:val="single" w:sz="8" w:space="0" w:color="auto"/>
              <w:bottom w:val="single" w:sz="8" w:space="0" w:color="000000"/>
              <w:right w:val="single" w:sz="8" w:space="0" w:color="auto"/>
            </w:tcBorders>
            <w:hideMark/>
          </w:tcPr>
          <w:p w14:paraId="171A1DE9" w14:textId="77777777" w:rsidR="005D01FE" w:rsidRPr="005D01FE" w:rsidRDefault="005D01FE" w:rsidP="005D01FE">
            <w:pPr>
              <w:spacing w:after="0" w:line="240" w:lineRule="auto"/>
              <w:rPr>
                <w:rFonts w:ascii="Arial" w:eastAsia="Times New Roman" w:hAnsi="Arial" w:cs="Arial"/>
                <w:b/>
                <w:bCs/>
                <w:color w:val="000000"/>
                <w:sz w:val="24"/>
                <w:szCs w:val="24"/>
              </w:rPr>
            </w:pPr>
          </w:p>
        </w:tc>
      </w:tr>
      <w:tr w:rsidR="005D01FE" w:rsidRPr="005D01FE" w14:paraId="44EB83D1" w14:textId="77777777" w:rsidTr="005D01FE">
        <w:trPr>
          <w:trHeight w:val="1380"/>
        </w:trPr>
        <w:tc>
          <w:tcPr>
            <w:tcW w:w="3624" w:type="dxa"/>
            <w:vMerge w:val="restart"/>
            <w:tcBorders>
              <w:top w:val="single" w:sz="8" w:space="0" w:color="000000"/>
              <w:left w:val="single" w:sz="8" w:space="0" w:color="auto"/>
              <w:bottom w:val="single" w:sz="8" w:space="0" w:color="000000"/>
              <w:right w:val="single" w:sz="8" w:space="0" w:color="000000"/>
            </w:tcBorders>
            <w:shd w:val="clear" w:color="auto" w:fill="auto"/>
            <w:hideMark/>
          </w:tcPr>
          <w:p w14:paraId="705EB8B1"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Records, Repositories, Registries or other Data or Biospecimen research; and (Publicly Available Information)</w:t>
            </w:r>
          </w:p>
        </w:tc>
        <w:tc>
          <w:tcPr>
            <w:tcW w:w="8216" w:type="dxa"/>
            <w:tcBorders>
              <w:top w:val="nil"/>
              <w:left w:val="nil"/>
              <w:bottom w:val="single" w:sz="8" w:space="0" w:color="000000"/>
              <w:right w:val="single" w:sz="8" w:space="0" w:color="000000"/>
            </w:tcBorders>
            <w:shd w:val="clear" w:color="auto" w:fill="auto"/>
            <w:hideMark/>
          </w:tcPr>
          <w:p w14:paraId="7CE051E9"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Proposed activity involves accessing student, health or other private records, data banks, repositories or any other mechanism by which identifiable human records, data, tissue, blood, or genetic materials will be obtained.</w:t>
            </w:r>
          </w:p>
        </w:tc>
        <w:tc>
          <w:tcPr>
            <w:tcW w:w="2598" w:type="dxa"/>
            <w:tcBorders>
              <w:top w:val="nil"/>
              <w:left w:val="nil"/>
              <w:bottom w:val="single" w:sz="8" w:space="0" w:color="000000"/>
              <w:right w:val="single" w:sz="8" w:space="0" w:color="auto"/>
            </w:tcBorders>
            <w:shd w:val="clear" w:color="auto" w:fill="auto"/>
            <w:hideMark/>
          </w:tcPr>
          <w:p w14:paraId="44B36256"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5D01FE" w:rsidRPr="005D01FE" w14:paraId="09E9AA99" w14:textId="77777777" w:rsidTr="005D01FE">
        <w:trPr>
          <w:trHeight w:val="1380"/>
        </w:trPr>
        <w:tc>
          <w:tcPr>
            <w:tcW w:w="3624" w:type="dxa"/>
            <w:vMerge/>
            <w:tcBorders>
              <w:top w:val="single" w:sz="8" w:space="0" w:color="000000"/>
              <w:left w:val="single" w:sz="8" w:space="0" w:color="auto"/>
              <w:bottom w:val="single" w:sz="8" w:space="0" w:color="000000"/>
              <w:right w:val="single" w:sz="8" w:space="0" w:color="000000"/>
            </w:tcBorders>
            <w:hideMark/>
          </w:tcPr>
          <w:p w14:paraId="1A2CC11E" w14:textId="77777777" w:rsidR="005D01FE" w:rsidRPr="005D01FE" w:rsidRDefault="005D01FE" w:rsidP="005D01FE">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41F96DB8"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Proposed activity involves accessing stored human tissue, blood, genetic material or private identifiable data that will be de-identified by study personnel at the time of collection or when the investigator has access to a code or link that enables re-identification of data or specimens.</w:t>
            </w:r>
          </w:p>
        </w:tc>
        <w:tc>
          <w:tcPr>
            <w:tcW w:w="2598" w:type="dxa"/>
            <w:tcBorders>
              <w:top w:val="nil"/>
              <w:left w:val="nil"/>
              <w:bottom w:val="single" w:sz="8" w:space="0" w:color="000000"/>
              <w:right w:val="single" w:sz="8" w:space="0" w:color="auto"/>
            </w:tcBorders>
            <w:shd w:val="clear" w:color="auto" w:fill="auto"/>
            <w:hideMark/>
          </w:tcPr>
          <w:p w14:paraId="18F3132C"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5D01FE" w:rsidRPr="005D01FE" w14:paraId="0A263BEC" w14:textId="77777777" w:rsidTr="005D01FE">
        <w:trPr>
          <w:trHeight w:val="1040"/>
        </w:trPr>
        <w:tc>
          <w:tcPr>
            <w:tcW w:w="3624" w:type="dxa"/>
            <w:vMerge/>
            <w:tcBorders>
              <w:top w:val="single" w:sz="8" w:space="0" w:color="000000"/>
              <w:left w:val="single" w:sz="8" w:space="0" w:color="auto"/>
              <w:bottom w:val="single" w:sz="8" w:space="0" w:color="000000"/>
              <w:right w:val="single" w:sz="8" w:space="0" w:color="000000"/>
            </w:tcBorders>
            <w:hideMark/>
          </w:tcPr>
          <w:p w14:paraId="64427484" w14:textId="77777777" w:rsidR="005D01FE" w:rsidRPr="005D01FE" w:rsidRDefault="005D01FE" w:rsidP="005D01FE">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auto"/>
              <w:right w:val="single" w:sz="8" w:space="0" w:color="000000"/>
            </w:tcBorders>
            <w:shd w:val="clear" w:color="auto" w:fill="auto"/>
            <w:hideMark/>
          </w:tcPr>
          <w:p w14:paraId="647CC9FC"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Private information or specimens are being collected specifically for the proposed research through interaction or intervention with living individuals.</w:t>
            </w:r>
          </w:p>
        </w:tc>
        <w:tc>
          <w:tcPr>
            <w:tcW w:w="2598" w:type="dxa"/>
            <w:tcBorders>
              <w:top w:val="nil"/>
              <w:left w:val="nil"/>
              <w:bottom w:val="single" w:sz="8" w:space="0" w:color="auto"/>
              <w:right w:val="single" w:sz="8" w:space="0" w:color="auto"/>
            </w:tcBorders>
            <w:shd w:val="clear" w:color="auto" w:fill="auto"/>
            <w:hideMark/>
          </w:tcPr>
          <w:p w14:paraId="225DC72E"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5D01FE" w:rsidRPr="005D01FE" w14:paraId="7D525C2C" w14:textId="77777777" w:rsidTr="005D01FE">
        <w:trPr>
          <w:trHeight w:val="1380"/>
        </w:trPr>
        <w:tc>
          <w:tcPr>
            <w:tcW w:w="3624" w:type="dxa"/>
            <w:vMerge/>
            <w:tcBorders>
              <w:top w:val="single" w:sz="8" w:space="0" w:color="000000"/>
              <w:left w:val="single" w:sz="8" w:space="0" w:color="auto"/>
              <w:bottom w:val="single" w:sz="8" w:space="0" w:color="000000"/>
              <w:right w:val="single" w:sz="8" w:space="0" w:color="000000"/>
            </w:tcBorders>
            <w:hideMark/>
          </w:tcPr>
          <w:p w14:paraId="77D59317" w14:textId="77777777" w:rsidR="005D01FE" w:rsidRPr="005D01FE" w:rsidRDefault="005D01FE" w:rsidP="005D01FE">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5778DFB1"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Proposed activity involves accessing biospecimens or cell lines from a commercially operated or established biorepository where the investigator does not receive under any circumstances personal identifiers, or links, or codes that enable identification;</w:t>
            </w:r>
          </w:p>
        </w:tc>
        <w:tc>
          <w:tcPr>
            <w:tcW w:w="2598" w:type="dxa"/>
            <w:tcBorders>
              <w:top w:val="nil"/>
              <w:left w:val="nil"/>
              <w:bottom w:val="single" w:sz="8" w:space="0" w:color="000000"/>
              <w:right w:val="single" w:sz="8" w:space="0" w:color="auto"/>
            </w:tcBorders>
            <w:shd w:val="clear" w:color="auto" w:fill="auto"/>
            <w:hideMark/>
          </w:tcPr>
          <w:p w14:paraId="532A6E14"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NO</w:t>
            </w:r>
          </w:p>
        </w:tc>
      </w:tr>
      <w:tr w:rsidR="005D01FE" w:rsidRPr="005D01FE" w14:paraId="6C8BAA89" w14:textId="77777777" w:rsidTr="005D01FE">
        <w:trPr>
          <w:trHeight w:val="1040"/>
        </w:trPr>
        <w:tc>
          <w:tcPr>
            <w:tcW w:w="3624" w:type="dxa"/>
            <w:vMerge/>
            <w:tcBorders>
              <w:top w:val="single" w:sz="8" w:space="0" w:color="000000"/>
              <w:left w:val="single" w:sz="8" w:space="0" w:color="auto"/>
              <w:bottom w:val="single" w:sz="8" w:space="0" w:color="000000"/>
              <w:right w:val="single" w:sz="8" w:space="0" w:color="000000"/>
            </w:tcBorders>
            <w:hideMark/>
          </w:tcPr>
          <w:p w14:paraId="5BA708E8" w14:textId="77777777" w:rsidR="005D01FE" w:rsidRPr="005D01FE" w:rsidRDefault="005D01FE" w:rsidP="005D01FE">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320D8F1D"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 xml:space="preserve">Proposed activity involves accessing unrestricted </w:t>
            </w:r>
            <w:r w:rsidRPr="005D01FE">
              <w:rPr>
                <w:rFonts w:ascii="Arial" w:eastAsia="Times New Roman" w:hAnsi="Arial" w:cs="Arial"/>
                <w:b/>
                <w:bCs/>
                <w:i/>
                <w:iCs/>
                <w:color w:val="000000"/>
                <w:sz w:val="24"/>
                <w:szCs w:val="24"/>
              </w:rPr>
              <w:t>publicly</w:t>
            </w:r>
            <w:r w:rsidRPr="005D01FE">
              <w:rPr>
                <w:rFonts w:ascii="Arial" w:eastAsia="Times New Roman" w:hAnsi="Arial" w:cs="Arial"/>
                <w:b/>
                <w:bCs/>
                <w:color w:val="000000"/>
                <w:sz w:val="24"/>
                <w:szCs w:val="24"/>
              </w:rPr>
              <w:t xml:space="preserve"> </w:t>
            </w:r>
            <w:r w:rsidRPr="005D01FE">
              <w:rPr>
                <w:rFonts w:ascii="Arial" w:eastAsia="Times New Roman" w:hAnsi="Arial" w:cs="Arial"/>
                <w:color w:val="000000"/>
                <w:sz w:val="24"/>
                <w:szCs w:val="24"/>
              </w:rPr>
              <w:t>available data/information, public use files (PUFs) or biospecimens that are available to the general public.</w:t>
            </w:r>
          </w:p>
        </w:tc>
        <w:tc>
          <w:tcPr>
            <w:tcW w:w="2598" w:type="dxa"/>
            <w:tcBorders>
              <w:top w:val="nil"/>
              <w:left w:val="nil"/>
              <w:bottom w:val="single" w:sz="8" w:space="0" w:color="000000"/>
              <w:right w:val="single" w:sz="8" w:space="0" w:color="auto"/>
            </w:tcBorders>
            <w:shd w:val="clear" w:color="auto" w:fill="auto"/>
            <w:hideMark/>
          </w:tcPr>
          <w:p w14:paraId="4D38156A"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NO</w:t>
            </w:r>
          </w:p>
        </w:tc>
      </w:tr>
      <w:tr w:rsidR="005D01FE" w:rsidRPr="005D01FE" w14:paraId="22554DDD" w14:textId="77777777" w:rsidTr="005D01FE">
        <w:trPr>
          <w:trHeight w:val="1720"/>
        </w:trPr>
        <w:tc>
          <w:tcPr>
            <w:tcW w:w="3624" w:type="dxa"/>
            <w:vMerge w:val="restart"/>
            <w:tcBorders>
              <w:top w:val="nil"/>
              <w:left w:val="single" w:sz="8" w:space="0" w:color="auto"/>
              <w:bottom w:val="single" w:sz="8" w:space="0" w:color="000000"/>
              <w:right w:val="single" w:sz="8" w:space="0" w:color="000000"/>
            </w:tcBorders>
            <w:shd w:val="clear" w:color="auto" w:fill="auto"/>
            <w:hideMark/>
          </w:tcPr>
          <w:p w14:paraId="451A3B49"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Scholarly and Journalistic Activities (oral history, journalism, literary criticism, historical scholarship, biography, legal research);</w:t>
            </w:r>
          </w:p>
        </w:tc>
        <w:tc>
          <w:tcPr>
            <w:tcW w:w="8216" w:type="dxa"/>
            <w:tcBorders>
              <w:top w:val="nil"/>
              <w:left w:val="nil"/>
              <w:bottom w:val="single" w:sz="8" w:space="0" w:color="000000"/>
              <w:right w:val="single" w:sz="8" w:space="0" w:color="000000"/>
            </w:tcBorders>
            <w:shd w:val="clear" w:color="auto" w:fill="auto"/>
            <w:hideMark/>
          </w:tcPr>
          <w:p w14:paraId="1A61408E"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Oral histories or journalism that focuses directly on the specific individuals about whom the information is collected and there is no intent to generalize the information to others. Legal research must focus on the circumstances of specific plaintiffs or parties involved in a case; Legal research is not a particular field.</w:t>
            </w:r>
          </w:p>
        </w:tc>
        <w:tc>
          <w:tcPr>
            <w:tcW w:w="2598" w:type="dxa"/>
            <w:tcBorders>
              <w:top w:val="nil"/>
              <w:left w:val="nil"/>
              <w:bottom w:val="single" w:sz="8" w:space="0" w:color="000000"/>
              <w:right w:val="single" w:sz="8" w:space="0" w:color="auto"/>
            </w:tcBorders>
            <w:shd w:val="clear" w:color="auto" w:fill="auto"/>
            <w:hideMark/>
          </w:tcPr>
          <w:p w14:paraId="1FF643AE"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szCs w:val="24"/>
              </w:rPr>
              <w:t>NO</w:t>
            </w:r>
          </w:p>
        </w:tc>
      </w:tr>
      <w:tr w:rsidR="005D01FE" w:rsidRPr="005D01FE" w14:paraId="4567A3E1" w14:textId="77777777" w:rsidTr="005D01FE">
        <w:trPr>
          <w:trHeight w:val="700"/>
        </w:trPr>
        <w:tc>
          <w:tcPr>
            <w:tcW w:w="3624" w:type="dxa"/>
            <w:vMerge/>
            <w:tcBorders>
              <w:top w:val="nil"/>
              <w:left w:val="single" w:sz="8" w:space="0" w:color="auto"/>
              <w:bottom w:val="single" w:sz="8" w:space="0" w:color="000000"/>
              <w:right w:val="single" w:sz="8" w:space="0" w:color="000000"/>
            </w:tcBorders>
            <w:hideMark/>
          </w:tcPr>
          <w:p w14:paraId="3D98EA3B" w14:textId="77777777" w:rsidR="005D01FE" w:rsidRPr="005D01FE" w:rsidRDefault="005D01FE" w:rsidP="005D01FE">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2E5EB632"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Scholarly and Journalistic activities that involve the testing or confirmation of a hypothesis that is intended for generalization to others.</w:t>
            </w:r>
          </w:p>
        </w:tc>
        <w:tc>
          <w:tcPr>
            <w:tcW w:w="2598" w:type="dxa"/>
            <w:tcBorders>
              <w:top w:val="nil"/>
              <w:left w:val="nil"/>
              <w:bottom w:val="single" w:sz="8" w:space="0" w:color="000000"/>
              <w:right w:val="single" w:sz="8" w:space="0" w:color="auto"/>
            </w:tcBorders>
            <w:shd w:val="clear" w:color="auto" w:fill="auto"/>
            <w:hideMark/>
          </w:tcPr>
          <w:p w14:paraId="02807110"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w w:val="85"/>
                <w:sz w:val="24"/>
                <w:szCs w:val="24"/>
              </w:rPr>
              <w:t>YES</w:t>
            </w:r>
          </w:p>
        </w:tc>
      </w:tr>
      <w:tr w:rsidR="005D01FE" w:rsidRPr="005D01FE" w14:paraId="753BE758" w14:textId="77777777" w:rsidTr="005D01FE">
        <w:trPr>
          <w:trHeight w:val="1040"/>
        </w:trPr>
        <w:tc>
          <w:tcPr>
            <w:tcW w:w="3624" w:type="dxa"/>
            <w:tcBorders>
              <w:top w:val="nil"/>
              <w:left w:val="single" w:sz="8" w:space="0" w:color="auto"/>
              <w:bottom w:val="single" w:sz="8" w:space="0" w:color="auto"/>
              <w:right w:val="single" w:sz="8" w:space="0" w:color="000000"/>
            </w:tcBorders>
            <w:shd w:val="clear" w:color="auto" w:fill="auto"/>
            <w:hideMark/>
          </w:tcPr>
          <w:p w14:paraId="3406BB3E"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Self - Experimentation</w:t>
            </w:r>
          </w:p>
        </w:tc>
        <w:tc>
          <w:tcPr>
            <w:tcW w:w="8216" w:type="dxa"/>
            <w:tcBorders>
              <w:top w:val="nil"/>
              <w:left w:val="nil"/>
              <w:bottom w:val="single" w:sz="8" w:space="0" w:color="auto"/>
              <w:right w:val="single" w:sz="8" w:space="0" w:color="000000"/>
            </w:tcBorders>
            <w:shd w:val="clear" w:color="auto" w:fill="auto"/>
            <w:hideMark/>
          </w:tcPr>
          <w:p w14:paraId="0149FE76"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Any human research where the investigator is also a participant in their own study (investigator self-experimentation) requires IRB review and approval.</w:t>
            </w:r>
          </w:p>
        </w:tc>
        <w:tc>
          <w:tcPr>
            <w:tcW w:w="2598" w:type="dxa"/>
            <w:tcBorders>
              <w:top w:val="nil"/>
              <w:left w:val="nil"/>
              <w:bottom w:val="single" w:sz="8" w:space="0" w:color="auto"/>
              <w:right w:val="single" w:sz="8" w:space="0" w:color="auto"/>
            </w:tcBorders>
            <w:shd w:val="clear" w:color="auto" w:fill="auto"/>
            <w:hideMark/>
          </w:tcPr>
          <w:p w14:paraId="0EB3AC8B"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w w:val="85"/>
                <w:sz w:val="24"/>
                <w:szCs w:val="24"/>
              </w:rPr>
              <w:t>YES</w:t>
            </w:r>
          </w:p>
        </w:tc>
      </w:tr>
      <w:tr w:rsidR="005D01FE" w:rsidRPr="005D01FE" w14:paraId="5A053E8F" w14:textId="77777777" w:rsidTr="005D01FE">
        <w:trPr>
          <w:trHeight w:val="1040"/>
        </w:trPr>
        <w:tc>
          <w:tcPr>
            <w:tcW w:w="3624" w:type="dxa"/>
            <w:vMerge w:val="restart"/>
            <w:tcBorders>
              <w:top w:val="nil"/>
              <w:left w:val="single" w:sz="8" w:space="0" w:color="auto"/>
              <w:bottom w:val="single" w:sz="8" w:space="0" w:color="000000"/>
              <w:right w:val="single" w:sz="8" w:space="0" w:color="000000"/>
            </w:tcBorders>
            <w:shd w:val="clear" w:color="auto" w:fill="auto"/>
            <w:hideMark/>
          </w:tcPr>
          <w:p w14:paraId="16270CD3"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Standard Diagnostic or Therapeutic procedures</w:t>
            </w:r>
          </w:p>
        </w:tc>
        <w:tc>
          <w:tcPr>
            <w:tcW w:w="8216" w:type="dxa"/>
            <w:tcBorders>
              <w:top w:val="nil"/>
              <w:left w:val="nil"/>
              <w:bottom w:val="single" w:sz="8" w:space="0" w:color="000000"/>
              <w:right w:val="single" w:sz="8" w:space="0" w:color="000000"/>
            </w:tcBorders>
            <w:shd w:val="clear" w:color="auto" w:fill="auto"/>
            <w:hideMark/>
          </w:tcPr>
          <w:p w14:paraId="7323C175"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The collection of data about established and accepted diagnostic, therapeutic procedures, or instructional methods is intended for dissemination or contribution to generalizable knowledge.</w:t>
            </w:r>
          </w:p>
        </w:tc>
        <w:tc>
          <w:tcPr>
            <w:tcW w:w="2598" w:type="dxa"/>
            <w:tcBorders>
              <w:top w:val="nil"/>
              <w:left w:val="nil"/>
              <w:bottom w:val="single" w:sz="8" w:space="0" w:color="000000"/>
              <w:right w:val="single" w:sz="8" w:space="0" w:color="auto"/>
            </w:tcBorders>
            <w:shd w:val="clear" w:color="auto" w:fill="auto"/>
            <w:hideMark/>
          </w:tcPr>
          <w:p w14:paraId="3DC1984B"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w w:val="85"/>
                <w:sz w:val="24"/>
                <w:szCs w:val="24"/>
              </w:rPr>
              <w:t>YES</w:t>
            </w:r>
          </w:p>
        </w:tc>
      </w:tr>
      <w:tr w:rsidR="005D01FE" w:rsidRPr="005D01FE" w14:paraId="087FB706" w14:textId="77777777" w:rsidTr="005D01FE">
        <w:trPr>
          <w:trHeight w:val="1040"/>
        </w:trPr>
        <w:tc>
          <w:tcPr>
            <w:tcW w:w="3624" w:type="dxa"/>
            <w:vMerge/>
            <w:tcBorders>
              <w:top w:val="nil"/>
              <w:left w:val="single" w:sz="8" w:space="0" w:color="auto"/>
              <w:bottom w:val="single" w:sz="8" w:space="0" w:color="000000"/>
              <w:right w:val="single" w:sz="8" w:space="0" w:color="000000"/>
            </w:tcBorders>
            <w:hideMark/>
          </w:tcPr>
          <w:p w14:paraId="163DCBD8" w14:textId="77777777" w:rsidR="005D01FE" w:rsidRPr="005D01FE" w:rsidRDefault="005D01FE" w:rsidP="005D01FE">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5BC1D36A"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There is an alteration in patient care or assignment for research purposes or the alteration is in a way that standard diagnostic or therapeutic procedures are not completely up to the discretion of a practitioner.</w:t>
            </w:r>
          </w:p>
        </w:tc>
        <w:tc>
          <w:tcPr>
            <w:tcW w:w="2598" w:type="dxa"/>
            <w:tcBorders>
              <w:top w:val="nil"/>
              <w:left w:val="nil"/>
              <w:bottom w:val="single" w:sz="8" w:space="0" w:color="000000"/>
              <w:right w:val="single" w:sz="8" w:space="0" w:color="auto"/>
            </w:tcBorders>
            <w:shd w:val="clear" w:color="auto" w:fill="auto"/>
            <w:hideMark/>
          </w:tcPr>
          <w:p w14:paraId="35D88152"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w w:val="85"/>
                <w:sz w:val="24"/>
                <w:szCs w:val="24"/>
              </w:rPr>
              <w:t>YES</w:t>
            </w:r>
          </w:p>
        </w:tc>
      </w:tr>
      <w:tr w:rsidR="005D01FE" w:rsidRPr="005D01FE" w14:paraId="415CBBB1" w14:textId="77777777" w:rsidTr="005D01FE">
        <w:trPr>
          <w:trHeight w:val="700"/>
        </w:trPr>
        <w:tc>
          <w:tcPr>
            <w:tcW w:w="3624" w:type="dxa"/>
            <w:vMerge/>
            <w:tcBorders>
              <w:top w:val="nil"/>
              <w:left w:val="single" w:sz="8" w:space="0" w:color="auto"/>
              <w:bottom w:val="single" w:sz="8" w:space="0" w:color="000000"/>
              <w:right w:val="single" w:sz="8" w:space="0" w:color="000000"/>
            </w:tcBorders>
            <w:hideMark/>
          </w:tcPr>
          <w:p w14:paraId="269D0572" w14:textId="77777777" w:rsidR="005D01FE" w:rsidRPr="005D01FE" w:rsidRDefault="005D01FE" w:rsidP="005D01FE">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70E6BCF4"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A diagnostic procedure is added to a standard treatment for the purpose of research.</w:t>
            </w:r>
          </w:p>
        </w:tc>
        <w:tc>
          <w:tcPr>
            <w:tcW w:w="2598" w:type="dxa"/>
            <w:tcBorders>
              <w:top w:val="nil"/>
              <w:left w:val="nil"/>
              <w:bottom w:val="single" w:sz="8" w:space="0" w:color="000000"/>
              <w:right w:val="single" w:sz="8" w:space="0" w:color="auto"/>
            </w:tcBorders>
            <w:shd w:val="clear" w:color="auto" w:fill="auto"/>
            <w:hideMark/>
          </w:tcPr>
          <w:p w14:paraId="5EEBD4F9"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w w:val="85"/>
                <w:sz w:val="24"/>
                <w:szCs w:val="24"/>
              </w:rPr>
              <w:t>YES</w:t>
            </w:r>
          </w:p>
        </w:tc>
      </w:tr>
      <w:tr w:rsidR="005D01FE" w:rsidRPr="005D01FE" w14:paraId="1D2B8683" w14:textId="77777777" w:rsidTr="005D01FE">
        <w:trPr>
          <w:trHeight w:val="1040"/>
        </w:trPr>
        <w:tc>
          <w:tcPr>
            <w:tcW w:w="3624" w:type="dxa"/>
            <w:vMerge/>
            <w:tcBorders>
              <w:top w:val="nil"/>
              <w:left w:val="single" w:sz="8" w:space="0" w:color="auto"/>
              <w:bottom w:val="single" w:sz="8" w:space="0" w:color="000000"/>
              <w:right w:val="single" w:sz="8" w:space="0" w:color="000000"/>
            </w:tcBorders>
            <w:hideMark/>
          </w:tcPr>
          <w:p w14:paraId="1D993A50" w14:textId="77777777" w:rsidR="005D01FE" w:rsidRPr="005D01FE" w:rsidRDefault="005D01FE" w:rsidP="005D01FE">
            <w:pPr>
              <w:spacing w:after="0" w:line="240" w:lineRule="auto"/>
              <w:rPr>
                <w:rFonts w:ascii="Arial" w:eastAsia="Times New Roman" w:hAnsi="Arial" w:cs="Arial"/>
                <w:color w:val="000000"/>
                <w:sz w:val="24"/>
                <w:szCs w:val="24"/>
              </w:rPr>
            </w:pPr>
          </w:p>
        </w:tc>
        <w:tc>
          <w:tcPr>
            <w:tcW w:w="8216" w:type="dxa"/>
            <w:tcBorders>
              <w:top w:val="nil"/>
              <w:left w:val="nil"/>
              <w:bottom w:val="single" w:sz="8" w:space="0" w:color="000000"/>
              <w:right w:val="single" w:sz="8" w:space="0" w:color="000000"/>
            </w:tcBorders>
            <w:shd w:val="clear" w:color="auto" w:fill="auto"/>
            <w:hideMark/>
          </w:tcPr>
          <w:p w14:paraId="1A5ECDB5"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An established and accepted diagnostic, therapeutic procedure or instructional method is performed only for the benefit of a patient and not for research purposes.</w:t>
            </w:r>
          </w:p>
        </w:tc>
        <w:tc>
          <w:tcPr>
            <w:tcW w:w="2598" w:type="dxa"/>
            <w:tcBorders>
              <w:top w:val="nil"/>
              <w:left w:val="nil"/>
              <w:bottom w:val="single" w:sz="8" w:space="0" w:color="000000"/>
              <w:right w:val="single" w:sz="8" w:space="0" w:color="auto"/>
            </w:tcBorders>
            <w:shd w:val="clear" w:color="auto" w:fill="auto"/>
            <w:hideMark/>
          </w:tcPr>
          <w:p w14:paraId="42064689"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NO</w:t>
            </w:r>
          </w:p>
        </w:tc>
      </w:tr>
      <w:tr w:rsidR="005D01FE" w:rsidRPr="005D01FE" w14:paraId="7DD34D16" w14:textId="77777777" w:rsidTr="005D01FE">
        <w:trPr>
          <w:trHeight w:val="700"/>
        </w:trPr>
        <w:tc>
          <w:tcPr>
            <w:tcW w:w="3624" w:type="dxa"/>
            <w:tcBorders>
              <w:top w:val="nil"/>
              <w:left w:val="single" w:sz="8" w:space="0" w:color="auto"/>
              <w:bottom w:val="single" w:sz="8" w:space="0" w:color="auto"/>
              <w:right w:val="single" w:sz="8" w:space="0" w:color="000000"/>
            </w:tcBorders>
            <w:shd w:val="clear" w:color="auto" w:fill="auto"/>
            <w:hideMark/>
          </w:tcPr>
          <w:p w14:paraId="29D40158"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Student Conducted Research</w:t>
            </w:r>
          </w:p>
        </w:tc>
        <w:tc>
          <w:tcPr>
            <w:tcW w:w="8216" w:type="dxa"/>
            <w:tcBorders>
              <w:top w:val="nil"/>
              <w:left w:val="nil"/>
              <w:bottom w:val="single" w:sz="8" w:space="0" w:color="auto"/>
              <w:right w:val="single" w:sz="8" w:space="0" w:color="000000"/>
            </w:tcBorders>
            <w:shd w:val="clear" w:color="auto" w:fill="auto"/>
            <w:hideMark/>
          </w:tcPr>
          <w:p w14:paraId="454457D2"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Thesis or dissertation projects involving human subjects research conducted to meet the requirements of a graduate degree.</w:t>
            </w:r>
          </w:p>
        </w:tc>
        <w:tc>
          <w:tcPr>
            <w:tcW w:w="2598" w:type="dxa"/>
            <w:tcBorders>
              <w:top w:val="nil"/>
              <w:left w:val="nil"/>
              <w:bottom w:val="single" w:sz="8" w:space="0" w:color="auto"/>
              <w:right w:val="single" w:sz="8" w:space="0" w:color="auto"/>
            </w:tcBorders>
            <w:shd w:val="clear" w:color="auto" w:fill="auto"/>
            <w:hideMark/>
          </w:tcPr>
          <w:p w14:paraId="69E9FEBC"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r w:rsidR="005D01FE" w:rsidRPr="005D01FE" w14:paraId="7E7DDD3E" w14:textId="77777777" w:rsidTr="005D01FE">
        <w:trPr>
          <w:trHeight w:val="1380"/>
        </w:trPr>
        <w:tc>
          <w:tcPr>
            <w:tcW w:w="3624" w:type="dxa"/>
            <w:tcBorders>
              <w:top w:val="nil"/>
              <w:left w:val="single" w:sz="8" w:space="0" w:color="auto"/>
              <w:bottom w:val="single" w:sz="8" w:space="0" w:color="auto"/>
              <w:right w:val="single" w:sz="8" w:space="0" w:color="000000"/>
            </w:tcBorders>
            <w:shd w:val="clear" w:color="auto" w:fill="auto"/>
            <w:hideMark/>
          </w:tcPr>
          <w:p w14:paraId="2E4144E5"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pacing w:val="-2"/>
                <w:sz w:val="24"/>
              </w:rPr>
              <w:lastRenderedPageBreak/>
              <w:t>Surveys</w:t>
            </w:r>
          </w:p>
        </w:tc>
        <w:tc>
          <w:tcPr>
            <w:tcW w:w="8216" w:type="dxa"/>
            <w:tcBorders>
              <w:top w:val="nil"/>
              <w:left w:val="nil"/>
              <w:bottom w:val="single" w:sz="8" w:space="0" w:color="auto"/>
              <w:right w:val="single" w:sz="8" w:space="0" w:color="000000"/>
            </w:tcBorders>
            <w:shd w:val="clear" w:color="auto" w:fill="auto"/>
            <w:hideMark/>
          </w:tcPr>
          <w:p w14:paraId="18FCE16E" w14:textId="77777777" w:rsidR="005D01FE" w:rsidRPr="005D01FE" w:rsidRDefault="005D01FE" w:rsidP="005D01FE">
            <w:pPr>
              <w:spacing w:after="0" w:line="240" w:lineRule="auto"/>
              <w:rPr>
                <w:rFonts w:ascii="Arial" w:eastAsia="Times New Roman" w:hAnsi="Arial" w:cs="Arial"/>
                <w:color w:val="000000"/>
                <w:sz w:val="24"/>
                <w:szCs w:val="24"/>
              </w:rPr>
            </w:pPr>
            <w:r w:rsidRPr="005D01FE">
              <w:rPr>
                <w:rFonts w:ascii="Arial" w:eastAsia="Times New Roman" w:hAnsi="Arial" w:cs="Arial"/>
                <w:color w:val="000000"/>
                <w:sz w:val="24"/>
              </w:rPr>
              <w:t>Interacting with participants directly or through third party survey administrators to answer a research question about humans requires submission to the IRB for a determination even if not collecting identifiable information.</w:t>
            </w:r>
          </w:p>
        </w:tc>
        <w:tc>
          <w:tcPr>
            <w:tcW w:w="2598" w:type="dxa"/>
            <w:tcBorders>
              <w:top w:val="nil"/>
              <w:left w:val="nil"/>
              <w:bottom w:val="single" w:sz="8" w:space="0" w:color="auto"/>
              <w:right w:val="single" w:sz="8" w:space="0" w:color="auto"/>
            </w:tcBorders>
            <w:shd w:val="clear" w:color="auto" w:fill="auto"/>
            <w:hideMark/>
          </w:tcPr>
          <w:p w14:paraId="38610371" w14:textId="77777777" w:rsidR="005D01FE" w:rsidRPr="005D01FE" w:rsidRDefault="005D01FE" w:rsidP="005D01FE">
            <w:pPr>
              <w:spacing w:after="0" w:line="240" w:lineRule="auto"/>
              <w:jc w:val="center"/>
              <w:rPr>
                <w:rFonts w:ascii="Arial" w:eastAsia="Times New Roman" w:hAnsi="Arial" w:cs="Arial"/>
                <w:b/>
                <w:bCs/>
                <w:color w:val="000000"/>
                <w:sz w:val="24"/>
                <w:szCs w:val="24"/>
              </w:rPr>
            </w:pPr>
            <w:r w:rsidRPr="005D01FE">
              <w:rPr>
                <w:rFonts w:ascii="Arial" w:eastAsia="Times New Roman" w:hAnsi="Arial" w:cs="Arial"/>
                <w:b/>
                <w:bCs/>
                <w:color w:val="000000"/>
                <w:spacing w:val="-5"/>
                <w:sz w:val="24"/>
              </w:rPr>
              <w:t>YES</w:t>
            </w:r>
          </w:p>
        </w:tc>
      </w:tr>
    </w:tbl>
    <w:p w14:paraId="7A1D0967" w14:textId="387757B3" w:rsidR="008920EA" w:rsidRDefault="008920EA" w:rsidP="005D01FE">
      <w:pPr>
        <w:pStyle w:val="SOPLevel2"/>
        <w:numPr>
          <w:ilvl w:val="0"/>
          <w:numId w:val="0"/>
        </w:numPr>
        <w:spacing w:line="276" w:lineRule="auto"/>
        <w:ind w:left="936"/>
        <w:rPr>
          <w:rFonts w:cs="Arial"/>
          <w:sz w:val="22"/>
          <w:szCs w:val="22"/>
        </w:rPr>
      </w:pPr>
    </w:p>
    <w:p w14:paraId="74DA1AF5" w14:textId="77777777" w:rsidR="005D01FE" w:rsidRDefault="005D01FE">
      <w:pPr>
        <w:rPr>
          <w:rFonts w:cs="Arial"/>
        </w:rPr>
        <w:sectPr w:rsidR="005D01FE" w:rsidSect="005D01FE">
          <w:pgSz w:w="15840" w:h="12240" w:orient="landscape"/>
          <w:pgMar w:top="720" w:right="720" w:bottom="720" w:left="720" w:header="720" w:footer="720" w:gutter="0"/>
          <w:cols w:space="720"/>
          <w:titlePg/>
          <w:docGrid w:linePitch="360"/>
        </w:sectPr>
      </w:pPr>
      <w:r>
        <w:rPr>
          <w:rFonts w:cs="Arial"/>
        </w:rPr>
        <w:br w:type="page"/>
      </w:r>
    </w:p>
    <w:p w14:paraId="36BA5990" w14:textId="5C8E0FE5" w:rsidR="005D01FE" w:rsidRDefault="005D01FE">
      <w:pPr>
        <w:rPr>
          <w:rFonts w:ascii="Arial" w:eastAsia="Times New Roman" w:hAnsi="Arial" w:cs="Arial"/>
        </w:rPr>
      </w:pPr>
    </w:p>
    <w:p w14:paraId="5104A4C6" w14:textId="263A8183" w:rsidR="005D01FE" w:rsidRPr="005D01FE" w:rsidRDefault="005D01FE" w:rsidP="005D01FE">
      <w:pPr>
        <w:pStyle w:val="SOPLevel2"/>
        <w:numPr>
          <w:ilvl w:val="0"/>
          <w:numId w:val="0"/>
        </w:numPr>
        <w:spacing w:line="276" w:lineRule="auto"/>
        <w:ind w:left="360"/>
        <w:rPr>
          <w:rFonts w:cs="Arial"/>
          <w:sz w:val="22"/>
          <w:szCs w:val="22"/>
        </w:rPr>
      </w:pPr>
    </w:p>
    <w:p w14:paraId="46FE9BD2" w14:textId="77777777" w:rsidR="008920EA" w:rsidRDefault="00FC14F5">
      <w:pPr>
        <w:pStyle w:val="SOPLevel1"/>
        <w:spacing w:line="276" w:lineRule="auto"/>
        <w:rPr>
          <w:rFonts w:cs="Arial"/>
          <w:sz w:val="22"/>
          <w:szCs w:val="22"/>
        </w:rPr>
      </w:pPr>
      <w:r>
        <w:rPr>
          <w:rFonts w:cs="Arial"/>
          <w:sz w:val="22"/>
          <w:szCs w:val="22"/>
        </w:rPr>
        <w:t>MATERIALS</w:t>
      </w:r>
    </w:p>
    <w:p w14:paraId="5DD735DE" w14:textId="6802EB22" w:rsidR="00ED124A" w:rsidRPr="00ED124A" w:rsidRDefault="00ED124A" w:rsidP="00ED124A">
      <w:pPr>
        <w:pStyle w:val="SOPLevel2"/>
        <w:rPr>
          <w:rFonts w:cs="Arial"/>
          <w:sz w:val="22"/>
          <w:szCs w:val="22"/>
        </w:rPr>
      </w:pPr>
      <w:r>
        <w:rPr>
          <w:rFonts w:cs="Arial"/>
          <w:sz w:val="22"/>
          <w:szCs w:val="22"/>
        </w:rPr>
        <w:t xml:space="preserve">HRP-001 – </w:t>
      </w:r>
      <w:r w:rsidRPr="00ED124A">
        <w:rPr>
          <w:rFonts w:cs="Arial"/>
          <w:sz w:val="22"/>
          <w:szCs w:val="22"/>
        </w:rPr>
        <w:t>SOP</w:t>
      </w:r>
      <w:r>
        <w:rPr>
          <w:rFonts w:cs="Arial"/>
          <w:sz w:val="22"/>
          <w:szCs w:val="22"/>
        </w:rPr>
        <w:t xml:space="preserve"> –</w:t>
      </w:r>
      <w:r w:rsidRPr="00ED124A">
        <w:rPr>
          <w:rFonts w:cs="Arial"/>
          <w:sz w:val="22"/>
          <w:szCs w:val="22"/>
        </w:rPr>
        <w:t xml:space="preserve"> Definitions</w:t>
      </w:r>
      <w:r>
        <w:rPr>
          <w:rFonts w:cs="Arial"/>
          <w:sz w:val="22"/>
          <w:szCs w:val="22"/>
        </w:rPr>
        <w:t>.</w:t>
      </w:r>
    </w:p>
    <w:p w14:paraId="30AC943E" w14:textId="40DA6DA2" w:rsidR="008920EA" w:rsidRDefault="00ED124A" w:rsidP="00ED124A">
      <w:pPr>
        <w:pStyle w:val="SOPLevel2"/>
        <w:rPr>
          <w:rFonts w:cs="Arial"/>
          <w:sz w:val="22"/>
          <w:szCs w:val="22"/>
        </w:rPr>
      </w:pPr>
      <w:r>
        <w:rPr>
          <w:rFonts w:cs="Arial"/>
          <w:sz w:val="22"/>
          <w:szCs w:val="22"/>
        </w:rPr>
        <w:t xml:space="preserve">HRP-310 – </w:t>
      </w:r>
      <w:r w:rsidRPr="00ED124A">
        <w:rPr>
          <w:rFonts w:cs="Arial"/>
          <w:sz w:val="22"/>
          <w:szCs w:val="22"/>
        </w:rPr>
        <w:t>WORKSHEET</w:t>
      </w:r>
      <w:r>
        <w:rPr>
          <w:rFonts w:cs="Arial"/>
          <w:sz w:val="22"/>
          <w:szCs w:val="22"/>
        </w:rPr>
        <w:t xml:space="preserve"> - </w:t>
      </w:r>
      <w:r w:rsidRPr="00ED124A">
        <w:rPr>
          <w:rFonts w:cs="Arial"/>
          <w:sz w:val="22"/>
          <w:szCs w:val="22"/>
        </w:rPr>
        <w:t xml:space="preserve">Human Research </w:t>
      </w:r>
      <w:r>
        <w:rPr>
          <w:rFonts w:cs="Arial"/>
          <w:sz w:val="22"/>
          <w:szCs w:val="22"/>
        </w:rPr>
        <w:t>Determination.</w:t>
      </w:r>
    </w:p>
    <w:p w14:paraId="67BFD6E7" w14:textId="77777777" w:rsidR="008920EA" w:rsidRDefault="00FC14F5">
      <w:pPr>
        <w:pStyle w:val="SOPLevel1"/>
        <w:spacing w:line="276" w:lineRule="auto"/>
        <w:rPr>
          <w:rFonts w:cs="Arial"/>
          <w:sz w:val="22"/>
          <w:szCs w:val="22"/>
        </w:rPr>
      </w:pPr>
      <w:r>
        <w:rPr>
          <w:rFonts w:cs="Arial"/>
          <w:sz w:val="22"/>
          <w:szCs w:val="22"/>
        </w:rPr>
        <w:t>REFERENCES</w:t>
      </w:r>
    </w:p>
    <w:p w14:paraId="6EF2F31B" w14:textId="2DD88B4E" w:rsidR="00ED124A" w:rsidRPr="00ED124A" w:rsidRDefault="00ED124A" w:rsidP="00ED124A">
      <w:pPr>
        <w:pStyle w:val="SOPLevel2"/>
        <w:spacing w:line="276" w:lineRule="auto"/>
        <w:rPr>
          <w:rFonts w:cs="Arial"/>
          <w:sz w:val="22"/>
          <w:szCs w:val="22"/>
        </w:rPr>
      </w:pPr>
      <w:r w:rsidRPr="00ED124A">
        <w:rPr>
          <w:rFonts w:cs="Arial"/>
          <w:sz w:val="22"/>
          <w:szCs w:val="22"/>
        </w:rPr>
        <w:t>DHHS: 45 CFR §46.102 (Pre -2018 and 2018 requirements)</w:t>
      </w:r>
    </w:p>
    <w:p w14:paraId="7965466B" w14:textId="555CDBE8" w:rsidR="00ED124A" w:rsidRDefault="00ED124A" w:rsidP="00ED124A">
      <w:pPr>
        <w:pStyle w:val="SOPLevel2"/>
        <w:spacing w:line="276" w:lineRule="auto"/>
        <w:rPr>
          <w:rFonts w:cs="Arial"/>
          <w:sz w:val="22"/>
          <w:szCs w:val="22"/>
        </w:rPr>
      </w:pPr>
      <w:r w:rsidRPr="00ED124A">
        <w:rPr>
          <w:rFonts w:cs="Arial"/>
          <w:sz w:val="22"/>
          <w:szCs w:val="22"/>
        </w:rPr>
        <w:t>FDA: 21 CFR 50.3; 21 CFR §56.102 and 56.103; 21 CFR 312.3(b); 21 CFR 812.3(h)</w:t>
      </w:r>
    </w:p>
    <w:p w14:paraId="47962860" w14:textId="1920DB16" w:rsidR="00FC14F5" w:rsidRPr="00ED124A" w:rsidRDefault="00ED124A" w:rsidP="00ED124A">
      <w:pPr>
        <w:pStyle w:val="SOPLevel2"/>
        <w:spacing w:line="276" w:lineRule="auto"/>
        <w:rPr>
          <w:rFonts w:cs="Arial"/>
          <w:sz w:val="22"/>
          <w:szCs w:val="22"/>
        </w:rPr>
      </w:pPr>
      <w:r w:rsidRPr="00ED124A">
        <w:rPr>
          <w:rFonts w:cs="Arial"/>
          <w:sz w:val="22"/>
          <w:szCs w:val="22"/>
        </w:rPr>
        <w:t>AAHRPP I.1.A</w:t>
      </w:r>
    </w:p>
    <w:p w14:paraId="682E88F8" w14:textId="77777777" w:rsidR="00FC14F5" w:rsidRPr="00FC14F5" w:rsidRDefault="00FC14F5" w:rsidP="00FC14F5">
      <w:pPr>
        <w:tabs>
          <w:tab w:val="left" w:pos="6440"/>
        </w:tabs>
      </w:pPr>
    </w:p>
    <w:sectPr w:rsidR="00FC14F5" w:rsidRPr="00FC14F5" w:rsidSect="005D01FE">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0531C" w14:textId="77777777" w:rsidR="00DA3EFB" w:rsidRDefault="00DA3EFB" w:rsidP="00855EE6">
      <w:pPr>
        <w:spacing w:after="0" w:line="240" w:lineRule="auto"/>
      </w:pPr>
      <w:r>
        <w:separator/>
      </w:r>
    </w:p>
  </w:endnote>
  <w:endnote w:type="continuationSeparator" w:id="0">
    <w:p w14:paraId="757A1995" w14:textId="77777777" w:rsidR="00DA3EFB" w:rsidRDefault="00DA3EFB" w:rsidP="0085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99678" w14:textId="77777777" w:rsidR="00EE520E" w:rsidRDefault="00EE5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1553083"/>
      <w:docPartObj>
        <w:docPartGallery w:val="Page Numbers (Bottom of Page)"/>
        <w:docPartUnique/>
      </w:docPartObj>
    </w:sdtPr>
    <w:sdtContent>
      <w:sdt>
        <w:sdtPr>
          <w:id w:val="1728636285"/>
          <w:docPartObj>
            <w:docPartGallery w:val="Page Numbers (Top of Page)"/>
            <w:docPartUnique/>
          </w:docPartObj>
        </w:sdtPr>
        <w:sdtContent>
          <w:p w14:paraId="27196B37" w14:textId="28E5E3EF" w:rsidR="00FC14F5" w:rsidRDefault="00FC14F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7724DA4" w14:textId="77777777" w:rsidR="00FC14F5" w:rsidRDefault="00FC14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D5666" w14:textId="6A2B60B7" w:rsidR="008920EA" w:rsidRDefault="00FC14F5">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1A6ED0FA" w14:textId="46120BE0" w:rsidR="008920EA" w:rsidRDefault="008920E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F4776" w14:textId="77777777" w:rsidR="00DA3EFB" w:rsidRDefault="00DA3EFB" w:rsidP="00855EE6">
      <w:pPr>
        <w:spacing w:after="0" w:line="240" w:lineRule="auto"/>
      </w:pPr>
      <w:r>
        <w:separator/>
      </w:r>
    </w:p>
  </w:footnote>
  <w:footnote w:type="continuationSeparator" w:id="0">
    <w:p w14:paraId="64411026" w14:textId="77777777" w:rsidR="00DA3EFB" w:rsidRDefault="00DA3EFB" w:rsidP="0085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EA04E" w14:textId="77777777" w:rsidR="00EE520E" w:rsidRDefault="00EE5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0898E" w14:textId="1CDE7A34" w:rsidR="008920EA" w:rsidRDefault="008920EA">
    <w:pPr>
      <w:pStyle w:val="Header"/>
      <w:jc w:val="center"/>
      <w:rPr>
        <w:noProof/>
      </w:rPr>
    </w:pPr>
  </w:p>
  <w:p w14:paraId="4F89F7BC" w14:textId="77777777" w:rsidR="008920EA" w:rsidRDefault="008920EA">
    <w:pPr>
      <w:pStyle w:val="Header"/>
      <w:jc w:val="cent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CB8B2" w14:textId="315B6339" w:rsidR="008920EA" w:rsidRDefault="001D6FA6" w:rsidP="00EE520E">
    <w:pPr>
      <w:pStyle w:val="Header"/>
      <w:jc w:val="center"/>
    </w:pPr>
    <w:r>
      <w:rPr>
        <w:noProof/>
      </w:rPr>
      <w:drawing>
        <wp:inline distT="0" distB="0" distL="0" distR="0" wp14:anchorId="19FA3CAE" wp14:editId="2FF690D1">
          <wp:extent cx="3686175" cy="695325"/>
          <wp:effectExtent l="0" t="0" r="9525" b="9525"/>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61D78"/>
    <w:multiLevelType w:val="multilevel"/>
    <w:tmpl w:val="070247AE"/>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szCs w:val="22"/>
      </w:rPr>
    </w:lvl>
    <w:lvl w:ilvl="2">
      <w:start w:val="1"/>
      <w:numFmt w:val="decimal"/>
      <w:pStyle w:val="SOPLevel3"/>
      <w:lvlText w:val="%1.%2.%3"/>
      <w:lvlJc w:val="left"/>
      <w:pPr>
        <w:tabs>
          <w:tab w:val="num" w:pos="2142"/>
        </w:tabs>
        <w:ind w:left="1206" w:firstLine="144"/>
      </w:pPr>
      <w:rPr>
        <w:rFonts w:hint="default"/>
        <w:b w:val="0"/>
        <w:i w:val="0"/>
        <w:sz w:val="22"/>
        <w:szCs w:val="22"/>
      </w:rPr>
    </w:lvl>
    <w:lvl w:ilvl="3">
      <w:start w:val="1"/>
      <w:numFmt w:val="decimal"/>
      <w:pStyle w:val="SOPLevel4"/>
      <w:lvlText w:val="%1.%2.%3.%4"/>
      <w:lvlJc w:val="left"/>
      <w:pPr>
        <w:tabs>
          <w:tab w:val="num" w:pos="2736"/>
        </w:tabs>
        <w:ind w:left="1008" w:firstLine="720"/>
      </w:pPr>
      <w:rPr>
        <w:rFonts w:hint="default"/>
        <w:b w:val="0"/>
        <w:i w:val="0"/>
        <w:strike w:val="0"/>
        <w:dstrike w:val="0"/>
        <w:outline w:val="0"/>
        <w:shadow w:val="0"/>
        <w:emboss w:val="0"/>
        <w:imprint w:val="0"/>
        <w:sz w:val="22"/>
        <w:szCs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85852126">
    <w:abstractNumId w:val="1"/>
  </w:num>
  <w:num w:numId="2" w16cid:durableId="1797285813">
    <w:abstractNumId w:val="2"/>
  </w:num>
  <w:num w:numId="3" w16cid:durableId="407774687">
    <w:abstractNumId w:val="0"/>
  </w:num>
  <w:num w:numId="4" w16cid:durableId="94054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73852"/>
    <w:rsid w:val="00082AFF"/>
    <w:rsid w:val="00092AEE"/>
    <w:rsid w:val="00095BC7"/>
    <w:rsid w:val="00097C68"/>
    <w:rsid w:val="000E220B"/>
    <w:rsid w:val="000F5F1B"/>
    <w:rsid w:val="000F7B64"/>
    <w:rsid w:val="00112F1A"/>
    <w:rsid w:val="00150F7C"/>
    <w:rsid w:val="001D6FA6"/>
    <w:rsid w:val="001E41C7"/>
    <w:rsid w:val="00216912"/>
    <w:rsid w:val="00240C13"/>
    <w:rsid w:val="00272E9B"/>
    <w:rsid w:val="0029199B"/>
    <w:rsid w:val="002A0DD4"/>
    <w:rsid w:val="002B378E"/>
    <w:rsid w:val="002B681F"/>
    <w:rsid w:val="00326316"/>
    <w:rsid w:val="00326970"/>
    <w:rsid w:val="0034262A"/>
    <w:rsid w:val="0035722D"/>
    <w:rsid w:val="00376FA0"/>
    <w:rsid w:val="00397D6B"/>
    <w:rsid w:val="003E5AE2"/>
    <w:rsid w:val="003F35F5"/>
    <w:rsid w:val="00413B76"/>
    <w:rsid w:val="00432636"/>
    <w:rsid w:val="00433C87"/>
    <w:rsid w:val="004709CB"/>
    <w:rsid w:val="004B05DE"/>
    <w:rsid w:val="004E2CCD"/>
    <w:rsid w:val="00512CDD"/>
    <w:rsid w:val="00574247"/>
    <w:rsid w:val="0059053B"/>
    <w:rsid w:val="005C5C4B"/>
    <w:rsid w:val="005D01FE"/>
    <w:rsid w:val="0060013C"/>
    <w:rsid w:val="00612FDA"/>
    <w:rsid w:val="0062282F"/>
    <w:rsid w:val="00623465"/>
    <w:rsid w:val="00625EFE"/>
    <w:rsid w:val="00636276"/>
    <w:rsid w:val="00650A58"/>
    <w:rsid w:val="00675EB8"/>
    <w:rsid w:val="006844F4"/>
    <w:rsid w:val="00695219"/>
    <w:rsid w:val="006C3173"/>
    <w:rsid w:val="006F23D2"/>
    <w:rsid w:val="006F2AD8"/>
    <w:rsid w:val="007469E0"/>
    <w:rsid w:val="0076301A"/>
    <w:rsid w:val="007D1007"/>
    <w:rsid w:val="007F49AC"/>
    <w:rsid w:val="00821C23"/>
    <w:rsid w:val="0084152D"/>
    <w:rsid w:val="00855EE6"/>
    <w:rsid w:val="0086083E"/>
    <w:rsid w:val="00872DA6"/>
    <w:rsid w:val="00891FE9"/>
    <w:rsid w:val="008920EA"/>
    <w:rsid w:val="00892392"/>
    <w:rsid w:val="00893D51"/>
    <w:rsid w:val="008B0231"/>
    <w:rsid w:val="008B32E5"/>
    <w:rsid w:val="008B3D20"/>
    <w:rsid w:val="00915462"/>
    <w:rsid w:val="00917358"/>
    <w:rsid w:val="00920771"/>
    <w:rsid w:val="009C1EE8"/>
    <w:rsid w:val="00A619BB"/>
    <w:rsid w:val="00AC2F0C"/>
    <w:rsid w:val="00AC4ED1"/>
    <w:rsid w:val="00B161DE"/>
    <w:rsid w:val="00B23768"/>
    <w:rsid w:val="00B23D93"/>
    <w:rsid w:val="00B526C7"/>
    <w:rsid w:val="00B54DF7"/>
    <w:rsid w:val="00B61F4A"/>
    <w:rsid w:val="00BB2AC7"/>
    <w:rsid w:val="00BF2F85"/>
    <w:rsid w:val="00C0332E"/>
    <w:rsid w:val="00C11900"/>
    <w:rsid w:val="00C468AA"/>
    <w:rsid w:val="00C50857"/>
    <w:rsid w:val="00C536C2"/>
    <w:rsid w:val="00C75CAF"/>
    <w:rsid w:val="00C97E43"/>
    <w:rsid w:val="00CE4D57"/>
    <w:rsid w:val="00CF2432"/>
    <w:rsid w:val="00D12AFE"/>
    <w:rsid w:val="00D1677B"/>
    <w:rsid w:val="00D35E6A"/>
    <w:rsid w:val="00D926D2"/>
    <w:rsid w:val="00DA3EFB"/>
    <w:rsid w:val="00DB7341"/>
    <w:rsid w:val="00E0288C"/>
    <w:rsid w:val="00E03D8D"/>
    <w:rsid w:val="00E11DAF"/>
    <w:rsid w:val="00E33C34"/>
    <w:rsid w:val="00E34769"/>
    <w:rsid w:val="00E61D55"/>
    <w:rsid w:val="00EB5B93"/>
    <w:rsid w:val="00ED124A"/>
    <w:rsid w:val="00EE39FA"/>
    <w:rsid w:val="00EE520E"/>
    <w:rsid w:val="00EF642F"/>
    <w:rsid w:val="00F116D8"/>
    <w:rsid w:val="00F21D47"/>
    <w:rsid w:val="00F37E69"/>
    <w:rsid w:val="00F40567"/>
    <w:rsid w:val="00F84AEF"/>
    <w:rsid w:val="00FC14F5"/>
    <w:rsid w:val="00FE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75EF74ED-8A38-4F1D-A7DC-1F93D5A0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link w:val="PrimarySectionText-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paragraph" w:customStyle="1" w:styleId="SOPLevel1">
    <w:name w:val="SOP Level 1"/>
    <w:basedOn w:val="Normal"/>
    <w:pPr>
      <w:numPr>
        <w:numId w:val="4"/>
      </w:numPr>
      <w:spacing w:before="40" w:after="40" w:line="240" w:lineRule="auto"/>
    </w:pPr>
    <w:rPr>
      <w:rFonts w:ascii="Arial" w:eastAsia="Times New Roman" w:hAnsi="Arial" w:cs="Tahoma"/>
      <w:b/>
      <w:sz w:val="20"/>
      <w:szCs w:val="24"/>
    </w:rPr>
  </w:style>
  <w:style w:type="paragraph" w:customStyle="1" w:styleId="SOPLevel2">
    <w:name w:val="SOP Level 2"/>
    <w:basedOn w:val="SOPLevel1"/>
    <w:pPr>
      <w:numPr>
        <w:ilvl w:val="1"/>
      </w:numPr>
      <w:spacing w:before="20" w:after="20"/>
      <w:ind w:left="936" w:hanging="576"/>
    </w:pPr>
    <w:rPr>
      <w:b w:val="0"/>
    </w:rPr>
  </w:style>
  <w:style w:type="paragraph" w:customStyle="1" w:styleId="SOPLevel3">
    <w:name w:val="SOP Level 3"/>
    <w:basedOn w:val="SOPLevel2"/>
    <w:pPr>
      <w:numPr>
        <w:ilvl w:val="2"/>
      </w:numPr>
      <w:tabs>
        <w:tab w:val="clear" w:pos="2142"/>
        <w:tab w:val="num" w:pos="1728"/>
      </w:tabs>
      <w:ind w:left="1728" w:hanging="792"/>
    </w:pPr>
  </w:style>
  <w:style w:type="paragraph" w:customStyle="1" w:styleId="SOPLevel4">
    <w:name w:val="SOP Level 4"/>
    <w:basedOn w:val="SOPLevel3"/>
    <w:pPr>
      <w:numPr>
        <w:ilvl w:val="3"/>
      </w:numPr>
      <w:ind w:left="2736" w:hanging="1008"/>
    </w:pPr>
  </w:style>
  <w:style w:type="paragraph" w:customStyle="1" w:styleId="SOPLevel5">
    <w:name w:val="SOP Level 5"/>
    <w:basedOn w:val="SOPLevel4"/>
    <w:pPr>
      <w:numPr>
        <w:ilvl w:val="4"/>
      </w:numPr>
      <w:ind w:left="3960" w:hanging="1224"/>
    </w:pPr>
  </w:style>
  <w:style w:type="paragraph" w:customStyle="1" w:styleId="SOPLevel6">
    <w:name w:val="SOP Level 6"/>
    <w:basedOn w:val="SOPLevel5"/>
    <w:pPr>
      <w:numPr>
        <w:ilvl w:val="5"/>
      </w:numPr>
      <w:ind w:left="5400" w:hanging="1440"/>
    </w:pPr>
  </w:style>
  <w:style w:type="character" w:styleId="PlaceholderText">
    <w:name w:val="Placeholder Text"/>
    <w:basedOn w:val="DefaultParagraphFont"/>
    <w:uiPriority w:val="99"/>
    <w:semiHidden/>
    <w:rPr>
      <w:color w:val="808080"/>
    </w:rPr>
  </w:style>
  <w:style w:type="character" w:styleId="Mention">
    <w:name w:val="Mention"/>
    <w:basedOn w:val="DefaultParagraphFont"/>
    <w:uiPriority w:val="99"/>
    <w:unhideWhenUsed/>
    <w:rPr>
      <w:color w:val="2B579A"/>
      <w:shd w:val="clear" w:color="auto" w:fill="E1DFDD"/>
    </w:rPr>
  </w:style>
  <w:style w:type="paragraph" w:customStyle="1" w:styleId="PrimarySectionTextNohangingindent-HCG">
    <w:name w:val="Primary Section Text (No hanging indent) - HCG"/>
    <w:basedOn w:val="PrimarySectionText-HCG"/>
    <w:link w:val="PrimarySectionTextNohangingindent-HCGChar"/>
    <w:qFormat/>
    <w:pPr>
      <w:spacing w:after="0"/>
      <w:ind w:left="0" w:firstLine="0"/>
      <w:jc w:val="center"/>
    </w:pPr>
    <w:rPr>
      <w:rFonts w:cs="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PrimarySectionText-HCGChar">
    <w:name w:val="Primary Section Text - HCG Char"/>
    <w:basedOn w:val="DefaultParagraphFont"/>
    <w:link w:val="PrimarySectionText-HCG"/>
    <w:rPr>
      <w:rFonts w:ascii="Arial" w:hAnsi="Arial"/>
    </w:rPr>
  </w:style>
  <w:style w:type="character" w:customStyle="1" w:styleId="PrimarySectionTextNohangingindent-HCGChar">
    <w:name w:val="Primary Section Text (No hanging indent) - HCG Char"/>
    <w:basedOn w:val="PrimarySectionText-HCGChar"/>
    <w:link w:val="PrimarySectionTextNohangingindent-HCG"/>
    <w:rPr>
      <w:rFonts w:ascii="Arial" w:hAnsi="Arial" w:cs="Arial"/>
    </w:rPr>
  </w:style>
  <w:style w:type="character" w:customStyle="1" w:styleId="EndnoteTextChar">
    <w:name w:val="Endnote Text Char"/>
    <w:basedOn w:val="DefaultParagraphFont"/>
    <w:link w:val="EndnoteText"/>
    <w:uiPriority w:val="99"/>
    <w:semiHidden/>
    <w:rPr>
      <w:rFonts w:ascii="Arial" w:hAnsi="Arial"/>
      <w:sz w:val="18"/>
      <w:szCs w:val="20"/>
    </w:rPr>
  </w:style>
  <w:style w:type="character" w:styleId="EndnoteReference">
    <w:name w:val="endnote reference"/>
    <w:basedOn w:val="DefaultParagraphFont"/>
    <w:uiPriority w:val="99"/>
    <w:semiHidden/>
    <w:unhideWhenUsed/>
    <w:rPr>
      <w:vertAlign w:val="superscript"/>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paragraph" w:styleId="Revision">
    <w:name w:val="Revision"/>
    <w:hidden/>
    <w:uiPriority w:val="99"/>
    <w:semiHidden/>
    <w:rsid w:val="002B37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41460">
      <w:bodyDiv w:val="1"/>
      <w:marLeft w:val="0"/>
      <w:marRight w:val="0"/>
      <w:marTop w:val="0"/>
      <w:marBottom w:val="0"/>
      <w:divBdr>
        <w:top w:val="none" w:sz="0" w:space="0" w:color="auto"/>
        <w:left w:val="none" w:sz="0" w:space="0" w:color="auto"/>
        <w:bottom w:val="none" w:sz="0" w:space="0" w:color="auto"/>
        <w:right w:val="none" w:sz="0" w:space="0" w:color="auto"/>
      </w:divBdr>
    </w:div>
    <w:div w:id="215512767">
      <w:bodyDiv w:val="1"/>
      <w:marLeft w:val="0"/>
      <w:marRight w:val="0"/>
      <w:marTop w:val="0"/>
      <w:marBottom w:val="0"/>
      <w:divBdr>
        <w:top w:val="none" w:sz="0" w:space="0" w:color="auto"/>
        <w:left w:val="none" w:sz="0" w:space="0" w:color="auto"/>
        <w:bottom w:val="none" w:sz="0" w:space="0" w:color="auto"/>
        <w:right w:val="none" w:sz="0" w:space="0" w:color="auto"/>
      </w:divBdr>
    </w:div>
    <w:div w:id="301808058">
      <w:bodyDiv w:val="1"/>
      <w:marLeft w:val="0"/>
      <w:marRight w:val="0"/>
      <w:marTop w:val="0"/>
      <w:marBottom w:val="0"/>
      <w:divBdr>
        <w:top w:val="none" w:sz="0" w:space="0" w:color="auto"/>
        <w:left w:val="none" w:sz="0" w:space="0" w:color="auto"/>
        <w:bottom w:val="none" w:sz="0" w:space="0" w:color="auto"/>
        <w:right w:val="none" w:sz="0" w:space="0" w:color="auto"/>
      </w:divBdr>
    </w:div>
    <w:div w:id="751507895">
      <w:bodyDiv w:val="1"/>
      <w:marLeft w:val="0"/>
      <w:marRight w:val="0"/>
      <w:marTop w:val="0"/>
      <w:marBottom w:val="0"/>
      <w:divBdr>
        <w:top w:val="none" w:sz="0" w:space="0" w:color="auto"/>
        <w:left w:val="none" w:sz="0" w:space="0" w:color="auto"/>
        <w:bottom w:val="none" w:sz="0" w:space="0" w:color="auto"/>
        <w:right w:val="none" w:sz="0" w:space="0" w:color="auto"/>
      </w:divBdr>
    </w:div>
    <w:div w:id="1205829111">
      <w:bodyDiv w:val="1"/>
      <w:marLeft w:val="0"/>
      <w:marRight w:val="0"/>
      <w:marTop w:val="0"/>
      <w:marBottom w:val="0"/>
      <w:divBdr>
        <w:top w:val="none" w:sz="0" w:space="0" w:color="auto"/>
        <w:left w:val="none" w:sz="0" w:space="0" w:color="auto"/>
        <w:bottom w:val="none" w:sz="0" w:space="0" w:color="auto"/>
        <w:right w:val="none" w:sz="0" w:space="0" w:color="auto"/>
      </w:divBdr>
    </w:div>
    <w:div w:id="1854027600">
      <w:bodyDiv w:val="1"/>
      <w:marLeft w:val="0"/>
      <w:marRight w:val="0"/>
      <w:marTop w:val="0"/>
      <w:marBottom w:val="0"/>
      <w:divBdr>
        <w:top w:val="none" w:sz="0" w:space="0" w:color="auto"/>
        <w:left w:val="none" w:sz="0" w:space="0" w:color="auto"/>
        <w:bottom w:val="none" w:sz="0" w:space="0" w:color="auto"/>
        <w:right w:val="none" w:sz="0" w:space="0" w:color="auto"/>
      </w:divBdr>
    </w:div>
    <w:div w:id="2063094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72DA34-3689-4B1E-9DD2-44F9E2229401}">
  <ds:schemaRefs>
    <ds:schemaRef ds:uri="http://schemas.openxmlformats.org/officeDocument/2006/bibliography"/>
  </ds:schemaRefs>
</ds:datastoreItem>
</file>

<file path=customXml/itemProps3.xml><?xml version="1.0" encoding="utf-8"?>
<ds:datastoreItem xmlns:ds="http://schemas.openxmlformats.org/officeDocument/2006/customXml" ds:itemID="{BB593902-C36F-4A32-BF02-02B7A2016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461372-FC14-4837-A6B0-753D8CEBFF4C}">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5.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6.xml><?xml version="1.0" encoding="utf-8"?>
<ds:datastoreItem xmlns:ds="http://schemas.openxmlformats.org/officeDocument/2006/customXml" ds:itemID="{74F8B72D-66B2-4F10-95C6-8F8B7EC09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Jen Robinson</cp:lastModifiedBy>
  <cp:revision>6</cp:revision>
  <dcterms:created xsi:type="dcterms:W3CDTF">2024-07-09T18:50:00Z</dcterms:created>
  <dcterms:modified xsi:type="dcterms:W3CDTF">2024-08-01T02:29:00Z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ies>
</file>